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51FD" w:rsidRDefault="00B946C5">
      <w:pPr>
        <w:spacing w:before="240" w:after="24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PENGARUH EFIKASI DIRI DAN EKSPEKTASI HASIL TERHADAP TUJUAN KARIR MAHASISWA PROGRAM HOTEL MANAGEMENT UNTUK BEKERJA DI INDUSTRI PERHOTELAN DENGAN TAKUT AKAN COVID-19 SEBAGAI VARIABEL MODERASI</w:t>
      </w:r>
    </w:p>
    <w:p w14:paraId="00000002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Metta Kalyani Mandeli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Dicky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Dharmawan Sanjaya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, Deborah Christin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e Widjaja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3*</w:t>
      </w:r>
    </w:p>
    <w:p w14:paraId="00000003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1,2,3 Program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Program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Studi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Bisnis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Ekonomi</w:t>
      </w:r>
      <w:proofErr w:type="spellEnd"/>
    </w:p>
    <w:p w14:paraId="00000004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Universitas Kristen Petra, Jl.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Siwalankerto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121-131, Surabaya</w:t>
      </w:r>
    </w:p>
    <w:p w14:paraId="00000005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Email: metta.kalyanimandeli@gmail.com, dicky.sanjaya58@gmail.com, dwidjaja@petra.ac.id</w:t>
      </w:r>
    </w:p>
    <w:p w14:paraId="00000006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*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Penul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Korespondensi</w:t>
      </w:r>
      <w:proofErr w:type="spellEnd"/>
    </w:p>
    <w:p w14:paraId="00000007" w14:textId="77777777" w:rsidR="009751FD" w:rsidRDefault="00B946C5">
      <w:pPr>
        <w:spacing w:before="48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Abstrak</w:t>
      </w:r>
      <w:proofErr w:type="spellEnd"/>
    </w:p>
    <w:p w14:paraId="00000008" w14:textId="77777777" w:rsidR="009751FD" w:rsidRDefault="00B946C5">
      <w:pPr>
        <w:widowControl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Virus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banyak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sekali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aspek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kehidupan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teori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 xml:space="preserve">Social Cognitive Career Theory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dua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Metode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kausal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kuantitatif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alat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berupa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>online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 xml:space="preserve">hotel management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Univ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angkatan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s.d.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 xml:space="preserve">non-probability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dan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>purposive sampling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Data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analisa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teknik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analisa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>Smart PLS.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Hasil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melemahkan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09" w14:textId="77777777" w:rsidR="009751FD" w:rsidRDefault="00B946C5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:</w:t>
      </w: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Covid-19,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Hasil,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</w:p>
    <w:p w14:paraId="0000000A" w14:textId="77777777" w:rsidR="009751FD" w:rsidRDefault="00B946C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Abstract</w:t>
      </w:r>
    </w:p>
    <w:p w14:paraId="0000000B" w14:textId="77777777" w:rsidR="009751FD" w:rsidRDefault="00B946C5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>The Covid-19 virus has made a lot of impact in various aspects of life, including in terms of determining career goals. In the S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>ocial Cognitive Career Theory there are two things that affect career goals, namely self-efficacy and outcome expectations and also Fear of Covid-19 as moderating variable. This research method is causal quantitative by using an analytical tool in the form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 xml:space="preserve"> of an online questionnaire to active students of the Petra Christian University Hotel Management program class of 2016-2018 using non-probability and purposive sampling. The data obtained by the researchers were analyzed using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>SmartPLS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 xml:space="preserve"> software. The resul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>ts showed that there was an effect of self-efficacy on outcome expectation, and have negative effect of self-efficacy and outcome expectations on career goals in the hospitality industry. Moderated by the fear of Covid-19, the results have not weakened tha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>t effect.</w:t>
      </w:r>
    </w:p>
    <w:p w14:paraId="0000000C" w14:textId="77777777" w:rsidR="009751FD" w:rsidRDefault="00B946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vertAlign w:val="superscript"/>
        </w:rPr>
        <w:sectPr w:rsidR="009751FD" w:rsidSect="00F61587">
          <w:headerReference w:type="default" r:id="rId7"/>
          <w:footerReference w:type="default" r:id="rId8"/>
          <w:pgSz w:w="11906" w:h="16838" w:code="9"/>
          <w:pgMar w:top="1701" w:right="1701" w:bottom="1701" w:left="1701" w:header="720" w:footer="720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vertAlign w:val="superscript"/>
        </w:rPr>
        <w:t>Keywords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: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vertAlign w:val="superscript"/>
        </w:rPr>
        <w:t xml:space="preserve"> Covid-19, Self-Efficacy, Outcome Expectation, Career Goals, Hospitality Industry.</w:t>
      </w:r>
    </w:p>
    <w:p w14:paraId="0000000D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>PENDAHULUAN</w:t>
      </w:r>
    </w:p>
    <w:p w14:paraId="0000000E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berkembang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dibuktikan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700.000 hotel dan resort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$570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miliar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seluruh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dunia (Condor Ferries, 2019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pertumbuhan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semakin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meningkat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seluruh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dunia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tenaga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kompeten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dibutuhkan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bersaing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(World Travel &amp; Tourism Council, 2018),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mengatakan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membutuhkan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sumber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manusia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keahlian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bidang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mempekerjakan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tenaga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global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berkontribusi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cukup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Produk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Domestik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Bruto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(PDB).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sendiri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persen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tase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pariwisata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proporsi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meningkat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sebanyak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10,53%,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berkembang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sebanyak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11,17%,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persentasenya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kembali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meningkat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banyak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11,83% (Badan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lastRenderedPageBreak/>
        <w:t xml:space="preserve">Pusat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Statistik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2020).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menjanjikan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0F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Namun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kondisi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berubah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drastis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Covid-19. Pada 11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Maret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2020, WHO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esmi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mendeklarasikan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pandemi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universal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banyak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serta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(Putri, 2020;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Özışık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Yapıcı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al., 2021).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Dibuktikan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(UNWTO, 2020)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-19,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delapan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bulan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pertama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2019,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penurunan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pariwisata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sebanyak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70%.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Begitu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pula di Indonesia,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Tingkat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Penghunian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Kamar (TPK) hotel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berbintang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Indonesia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Desember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rata-rata 40,79%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turun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18,60%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dibandingkan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TPK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Desember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2019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59,39% (Pusat Data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Sistem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2021).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Tingkat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Penghunian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Kamar (TPK)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1.266 hotel di Indonesia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berhenti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beroperasi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sementara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waktu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(Man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sur, 2020)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serta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pihak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menawarkan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cuti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tetapi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diluar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tanggungan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10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kondisi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turun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drastis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akibat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memunculkan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masalah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baru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timbul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studi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bidang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pengelolaan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bisnis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terdahulu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sejumlah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universitas di Turki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sebelum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Özışık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Yapıcı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al., 2021). Virus Covid-19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menimbulkan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cemas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berakibat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ketidakpastian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Birtch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al, 2021). Karena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menimbulkan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stres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cemas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depresi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sekelompok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akibat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ketidakpastian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dihadapi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Ahorsu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al., 2020; Mahmud et al., 2020).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efek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11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Faktor-faktor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Social Cognitive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Theory oleh (Bandura,1986)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pertama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dijabarkan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kembali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Social Cognitive Career Theory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disingkat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SCCT oleh (Lent et al., 1994)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teori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terdahulu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mengetahu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faktor-faktor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pemilihan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ditempuh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sejak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skill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sudah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dilatih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tetap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bertahan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masa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SCCT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sendiri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12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pertama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kali oleh Bandura,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1986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tindakan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pencapaian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(Lent et al., 1994)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(Chuang &amp;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Dellmann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-Jenkins, 2010)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mengatakan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maupun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melalui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harapan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tentang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konsekuensi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(Segal, Borgia, &amp; Schoenfeld, 2002).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memainkan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memotivasi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Birtch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al, 2021).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utama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Bagozzi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Baumgartner, &amp; Yi, 1989).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sebelumnya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terkait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jurusan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diprediksi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jika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keyakinan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minat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(Chuang et al., 2007).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bergantung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SCCT (Chuang et al., 2007).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diukur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menanyakan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13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kontek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persepsi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sendiri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terkait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menarik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serta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bertemu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baru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melatih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(Anthony et al., 2021).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Namun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resik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tertular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timbul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kontak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fisik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mempertimbangkan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kembali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diperjelas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(Goh &amp; Baum, 2021)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menyebutkan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quarantine hotel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lastRenderedPageBreak/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quarantine hotel di Melbourne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Juni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tertular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Universitas Kristen Petra Program Hotel Mana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gement,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mengatakan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tetapi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contoh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fenomena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menimbulkan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persepsi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lanjut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apakah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melemahkan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14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diperlukannya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di U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objek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institusi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di Indonesia.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magang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seluruh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siapkan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sebelum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memulai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menghasilkan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tenaga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kompeten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menghadapi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krisis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apakah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masa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ndemi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sebuah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singkat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melalui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magang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kelas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praktek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 Has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il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tetap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lanjut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dikarenakan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ketertarikan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merencanakan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minatnya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menambah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relasi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yakin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dipicu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gaya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hidup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dan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cenderung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masih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ragu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pemilihan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akibat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kurangnya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disimpulkan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lanjut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80%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mampu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rencana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kedepannya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sisanya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pertimbangkan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mempertimbangkan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15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fenomena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gement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Covid-19.</w:t>
      </w:r>
    </w:p>
    <w:p w14:paraId="00000016" w14:textId="77777777" w:rsidR="009751FD" w:rsidRDefault="009751F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</w:p>
    <w:p w14:paraId="00000017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RUMUSAN MASALAH</w:t>
      </w:r>
    </w:p>
    <w:p w14:paraId="00000018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latar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belakang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dijelaskan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disimpulkan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membahas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apakah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apakah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memperlemah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apakah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apakah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memperlemah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serta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apakah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apakah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memperlemah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19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</w:p>
    <w:p w14:paraId="0000001A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TINJAUAN PUSTAKA DAN HIPOTESIS</w:t>
      </w:r>
    </w:p>
    <w:p w14:paraId="0000001B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The Social Cognitive Career Theory (SCCT)</w:t>
      </w:r>
    </w:p>
    <w:p w14:paraId="0000001C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Social Cognitive Career Theory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didasari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(Bandura, 1997)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tentang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Social Cognitive Theory. Social Cognitive Theory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membahas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tentang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manusia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mengarah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psikososial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biologis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(Bandura, 1997).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(Bandura, 1997)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Social Cognitive Theory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menganalisis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manusia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terbentuk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fungsi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psikologi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sosial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disebabkan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timbal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balik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Contoh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timbal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balik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pribadi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banyak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terlibat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mengatur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pengembang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memproseskan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rencana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kedepannya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representasi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rekonstruksi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memori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kognitif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mengarahkan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emosi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fungsi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psiko-biologis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kegunaan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kognitif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maupun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kehidupan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sehari-hari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teori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menyoroti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psikologis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pengaturan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refleksi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kehidupan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eksternal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ataupun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internal (Bandura, 1997). </w:t>
      </w:r>
    </w:p>
    <w:p w14:paraId="0000001D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lastRenderedPageBreak/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(Klassen &amp; Usher, 2010), So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cial Cognitive Theory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tindakan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serta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didasari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kepribadiannya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maupun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sekitar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ditambah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Social Cognitive Theory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mempertimbangkan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menghasilkan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menampilkan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sebuah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menampilkan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jarang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teori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kondisi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sosial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mengubah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ndisi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sosial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mana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Social Cognitive Theory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tampaknya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relevan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(Lent et al., 1994).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SCCT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dikaitkan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jurusan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eksplorasi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minat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(Lent et al., 1994)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kerangka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berpikir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(Bandura, 1997),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utama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Social Cognitive Theory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memainkan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Banyak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Social Cognitive Career Theory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jenis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SCCT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posisi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komponen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penentu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1E" w14:textId="77777777" w:rsidR="009751FD" w:rsidRDefault="009751F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01F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Self-Efficacy (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) </w:t>
      </w:r>
    </w:p>
    <w:p w14:paraId="00000020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ab/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pertama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kali oleh (Bandura, 1997)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enilaian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tindakan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pencapaian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(Lent et al., 1994)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diposisikan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pilihan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tindakan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solusi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konsisten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pola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pikir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reaksi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emosional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tantangan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Definisi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(Cantos et al., 2019)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percaya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keterampilannya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efektif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efisien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tugas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diperuntukkan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mereka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konteks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sosial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tetapi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pilihan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Birtch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al., 2021),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can do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mencerminkan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konsekuensi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)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terbukti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21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tentang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lima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tugas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value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memutuskan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bidang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dikerjakan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mencari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bidang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perbincangan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sudah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lama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rencana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masa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keterlibatan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relevan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rencana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sudah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pemecahan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masa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nantinya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sering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dihadapkan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dikerjakan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sekaligus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sendiri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tetap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awal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walaupun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jarang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mengalami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depresi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stres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pilihan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diambil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tanpa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memikirkan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benar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ataupun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salahnya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lima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tugas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encapai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kematangan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(Cantos et al, 2019). </w:t>
      </w:r>
    </w:p>
    <w:p w14:paraId="00000022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terdahulu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memakai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ukuran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memprediksikan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hospitality management (Chuang &amp;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Dellmann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-Jenkins, 2010).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dijadikan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penentu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23" w14:textId="77777777" w:rsidR="009751FD" w:rsidRDefault="009751F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024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Outcome Expectation (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Hasil)</w:t>
      </w:r>
    </w:p>
    <w:p w14:paraId="00000025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(Lent et al., 1994),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keyakinan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kemungkinan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tertentu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penentu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mungkin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paling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digambarkan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If I do this, what will happen?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erdampak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alat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memprediksi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career exploration intentions, dan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memainkan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memotivasi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human behavior.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Teori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nentu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minat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(Lent et al., 1994; Chuang &amp;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Dellmann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-Jenkins, 2010).</w:t>
      </w:r>
    </w:p>
    <w:p w14:paraId="00000026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(Bandura, 1997)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(Chuang &amp;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Dellmann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-Jenkins, 2010)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menyarankan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mengukur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fisik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sosial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evaluasi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Kategori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fisik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keuntungan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finansial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lastRenderedPageBreak/>
        <w:t>menyenangkan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kategori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sosial</w:t>
      </w:r>
      <w:proofErr w:type="spellEnd"/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meliputi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kekuasaan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sosial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status,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evaluasi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prestasi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kepuasan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(Sc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hoenfeld et al., 2017),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diinginkan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pendapatan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keamanan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status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martabat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menarik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independensi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dijadikan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penentu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27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ab/>
      </w:r>
    </w:p>
    <w:p w14:paraId="00000028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Karir</w:t>
      </w:r>
      <w:proofErr w:type="spellEnd"/>
    </w:p>
    <w:p w14:paraId="00000029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(Lent et al., 1994),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Social Cognitive Theory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mengatur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(Segal et al., 2002),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terbaik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merencanakan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Sementara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pribadi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penetapan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tertentu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mengatur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mengarahkan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berkelanjutan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kemungkinan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diinginkan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tercapai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menetapkan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2A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(Kim, 2017)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mengarahkan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memotivasi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upaya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berkembang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arah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diinginkan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keduanya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(Chuang et al., 2007).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ebelumnya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terkait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jurusan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diprediksi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jika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keyakinan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minat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(Chuang et al., 2010).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send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cenderung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career intention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terlibat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magang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(Tsai et al., 2017).</w:t>
      </w:r>
    </w:p>
    <w:p w14:paraId="0000002B" w14:textId="77777777" w:rsidR="009751FD" w:rsidRDefault="009751F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</w:p>
    <w:p w14:paraId="0000002C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Covid-19</w:t>
      </w:r>
    </w:p>
    <w:p w14:paraId="0000002D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(Mahmud et al., 2020),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Emosi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erbentuk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ketakutan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kecemasan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timbul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diikuti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ketidakpastian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maupun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kecemasan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persepsi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masa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ketakutan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cemas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emosi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Beck and Emery (1979)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(Mahmud et al., 2020),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kesadaran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cemas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perasaan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menyenangkan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reaksi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fisik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muncul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orong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ditambah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munculnya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pandemi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mendorong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ketakutan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manusia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Pandemi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gejala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penyakit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ancaman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seluruh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dunia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dikonfirmasi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penyakit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penular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begitu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cepat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tingkat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mungkin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berpikir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jernih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rasional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bereaksi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Ahorsu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al., 2020). </w:t>
      </w:r>
    </w:p>
    <w:p w14:paraId="0000002E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terdahulu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memperkuat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kerusa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penyakit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sendiri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tingkat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menimbulkan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stress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sekelompok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disebabkan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kondisi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pariwisata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turun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drastis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masa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pandemi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domestik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dibatasi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persyaratan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wajib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tetap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tutup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awal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musim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perubahan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layanan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perjamuan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pembersihan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terbatas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hotel.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sistem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pengurangan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pegawai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terhindar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efek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krisis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ekonomi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Özışık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Yapıcı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al., 2021).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ditimbulkan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cenderung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cemas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gugup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hilangnya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percaya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dikarenakan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ancaman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mengancam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kehidupan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serta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golongan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namun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kesejahteraa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ekonomi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sosial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menyebabkan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kecemasan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ketidakpastian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masa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memutuskan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Ahorsu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al., 2020).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lanj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tentang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2F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</w:p>
    <w:p w14:paraId="00000030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objek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dibentuk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usaha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akomodasi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restoran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tempat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rekreasi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maupun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spa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sekaligus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berfungsi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nyaman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interaksi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manusia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manusia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pelaku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usaha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pelanggannya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Hermawan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l., 2018).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Reimons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Hieronimus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A, D., 2020),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definisi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sikap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dikelompokkan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lastRenderedPageBreak/>
        <w:t>kedalam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teori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SCCT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kteristik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status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sosial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kepribadian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kondisi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fisik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gaji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/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manfaat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promosi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komitmen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31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Namun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konteks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dirasakan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pendapatan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gaji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jam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terlalu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padat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buruk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serta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promosi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terkait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jabatan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terkadang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serupa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melihat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terdahulu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(Richardson, 2010)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menemukan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mengejar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luar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diakibatkan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memuaskan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Ditambah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menambah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(Goh &amp; Baum, 2021),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quarantine hotel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menimbulkan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berbahaya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beresiko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terpapar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risiko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penularan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tamu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karantina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Lalu di masa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pandemi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semakin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sedikitnya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tamu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menginap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sulit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berin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teraksi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tamu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standar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dipaksakan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kondisi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pandemi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menghemat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pengeluaran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persepsi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diterima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berakibat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kurangnya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minat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32" w14:textId="77777777" w:rsidR="009751FD" w:rsidRDefault="009751F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033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Jenjang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</w:p>
    <w:p w14:paraId="00000034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jenjang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harus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dipertimbangkan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orang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memulai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Berikut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Kustini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2017, pp. 2–5)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klasifikasi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pendekatan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khusus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dua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:</w:t>
      </w:r>
    </w:p>
    <w:p w14:paraId="00000035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1. Front of the House (Guest Contact Area) </w:t>
      </w:r>
    </w:p>
    <w:p w14:paraId="00000036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Area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ditujukan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bertemu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tamu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Food &amp; Beverage Service, Front Office, Housekeeping, Engineering, La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undry, Recreation, Sales &amp; Marketing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Departemen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37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2. Back of the House Area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berkomunikasi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tamu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Food Product/Kitchen, Accounting, Human Resources Department. </w:t>
      </w:r>
    </w:p>
    <w:p w14:paraId="00000038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</w:p>
    <w:p w14:paraId="00000039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Hubungan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Antara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Hasi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l, dan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Covid-19</w:t>
      </w:r>
    </w:p>
    <w:p w14:paraId="0000003A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bersifat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positif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dikarenakan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percaya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terkadang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cenderung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arah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optimis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tentang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sudah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dibentuk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(Lent et al., 2017).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dilihat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mengukur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lama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waktu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bertahan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hambatan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maupun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menyenangkan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dipikirkan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(Tsai et al, 2017). </w:t>
      </w:r>
    </w:p>
    <w:p w14:paraId="0000003B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pandemi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buruk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menghasilkan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psikososial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gangguan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jiwa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diskriminasi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kehilangan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Ahorsu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al., 2020). Dan juga virus Covid-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19 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enimbulkan</w:t>
      </w:r>
      <w:proofErr w:type="spellEnd"/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tertular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berkontak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fisik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orang lain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tamu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hotel.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memperlemah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pemaparan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dirumuskan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berikut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: </w:t>
      </w:r>
    </w:p>
    <w:p w14:paraId="0000003C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positif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3D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memperlemah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3E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03F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Hubungan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Antara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Covid-19 </w:t>
      </w:r>
    </w:p>
    <w:p w14:paraId="00000040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Butijer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2020),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tingkat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dilihat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kasus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tingkat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keyakinan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meningkat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menyebabkan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positif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begitu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(Tsai et al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2017)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menyebutkan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menimbulkan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sikap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positif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memperkirakan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dijalani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berpotensi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jauh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hambatan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menganggap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hambatan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yakin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mampu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melibatkan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Butijer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, 2020).</w:t>
      </w:r>
    </w:p>
    <w:p w14:paraId="00000041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Birtch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al., 2021),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lastRenderedPageBreak/>
        <w:t>emosi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erdampak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pula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Dari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mengembangkan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sikap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berinteraksi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tamu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memperlemah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pemaparan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dirumuskan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berikut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:  </w:t>
      </w:r>
    </w:p>
    <w:p w14:paraId="00000042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positif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43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4: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memperlemah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44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045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Hubungan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Antara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Hasil,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Covid-19</w:t>
      </w:r>
    </w:p>
    <w:p w14:paraId="00000046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teori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SCCT,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minat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mengembangkan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mampu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memperkirakan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dahulu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diinginkan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(Segal et al., 2002).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nantinya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mempertimbangkan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kemungkinan-kemungkinan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Syakurah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et al., 2020).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memungkinkan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dipertimbangkan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berupa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keuangan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status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ataupun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prestasi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47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(Mahmud et al., 2020)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rus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mediasi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berdampak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depresi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menimbulkan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ketakutan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masa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Covid-19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menimbulkan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virus corona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Kemungkinan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memperlemah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seseorang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menempuh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masa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pemaparan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dirumuskan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berikut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:</w:t>
      </w:r>
    </w:p>
    <w:p w14:paraId="00000048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5: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positif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49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6: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memperlemah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4A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04B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MODEL PENELITIAN</w:t>
      </w:r>
    </w:p>
    <w:p w14:paraId="0000004C" w14:textId="77777777" w:rsidR="009751FD" w:rsidRDefault="00B946C5">
      <w:pPr>
        <w:spacing w:before="8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114300" distB="114300" distL="114300" distR="114300">
            <wp:extent cx="2640521" cy="215513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521" cy="2155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D" w14:textId="77777777" w:rsidR="009751FD" w:rsidRDefault="00B946C5">
      <w:pPr>
        <w:spacing w:before="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Gambar 1.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Model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</w:p>
    <w:p w14:paraId="0000004E" w14:textId="77777777" w:rsidR="009751FD" w:rsidRDefault="009751FD">
      <w:pPr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04F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METODE PENELITIAN</w:t>
      </w:r>
    </w:p>
    <w:p w14:paraId="00000050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Jenis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kausal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kuantitatif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kuantitatif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pembuktian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verifikasi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lapangan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jawaban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masih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bersifat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tentative. Data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kuantitatif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berupa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data yan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diangkakan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kausal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bersifat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sebab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akibat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diartikan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independen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)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dependen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)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Sugiyono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, 2017). J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adi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kausal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kasual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Social Cognitive Career Theory (SCCT)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Kriteria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penarikan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sampel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berikut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: </w:t>
      </w:r>
    </w:p>
    <w:p w14:paraId="00000051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Petra. </w:t>
      </w:r>
    </w:p>
    <w:p w14:paraId="00000052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b. Angkatan 2016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s.d.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018.</w:t>
      </w:r>
    </w:p>
    <w:p w14:paraId="00000053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Survei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melalui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google form.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dibagikan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self-administered questionnaire.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Self Administered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questionnaire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diisi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tanpa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didamping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disebarkan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online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diakses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sebuah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link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melalui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kode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QR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dipindah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seluler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(Saunders, Lewis, &amp; Thornhill, 2016). </w:t>
      </w:r>
    </w:p>
    <w:p w14:paraId="00000054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lastRenderedPageBreak/>
        <w:t>Prosedur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survei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menyebarluaskan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tautan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google form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melalui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sosial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media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meminta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bantuan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kerabat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menyebarluaskan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dibagikan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penulis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penyaring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kriteria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sampel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menjawab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seluruh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tertera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google form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mengumpulkannya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mengumpulkan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jumlah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dikehendaki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mengolah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SmartPLS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055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diukur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skala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likert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lima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pilihan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jawaban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instrumen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(1 =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5 =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). Data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diolah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kembali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penyimpulan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temuan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teknik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analisa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model Partial Least Square (PLS)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Structural Equation Model (SEM)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software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bernama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SmartPLS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56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validitas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diolah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Statistical Product and Service Solutions (SPSS)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korelasi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Bivariate Pearson pada software SPSS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5%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persentase</w:t>
      </w:r>
      <w:proofErr w:type="spellEnd"/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0,361. Jika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hitung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&gt; 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pernyataan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dikatakan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valid. </w:t>
      </w:r>
    </w:p>
    <w:p w14:paraId="00000057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1.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Hasil Uji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Reliabilitas</w:t>
      </w:r>
      <w:proofErr w:type="spellEnd"/>
    </w:p>
    <w:tbl>
      <w:tblPr>
        <w:tblStyle w:val="a"/>
        <w:tblW w:w="3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975"/>
        <w:gridCol w:w="975"/>
        <w:gridCol w:w="975"/>
      </w:tblGrid>
      <w:tr w:rsidR="009751FD" w14:paraId="24A38CDC" w14:textId="77777777">
        <w:trPr>
          <w:trHeight w:val="31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58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Variabel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59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Cronbach's Alpha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5A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Ketetapan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5B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9751FD" w14:paraId="315F9FFA" w14:textId="77777777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5C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Efikasi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</w:t>
            </w:r>
            <w:proofErr w:type="spellEnd"/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5D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0.913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5E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5F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Reliabel</w:t>
            </w:r>
            <w:proofErr w:type="spellEnd"/>
          </w:p>
        </w:tc>
      </w:tr>
      <w:tr w:rsidR="009751FD" w14:paraId="3C88FB4F" w14:textId="77777777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0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Ekspektasi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hasil</w:t>
            </w:r>
            <w:proofErr w:type="spellEnd"/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1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0.798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2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3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Reliabel</w:t>
            </w:r>
            <w:proofErr w:type="spellEnd"/>
          </w:p>
        </w:tc>
      </w:tr>
      <w:tr w:rsidR="009751FD" w14:paraId="6E1DD618" w14:textId="77777777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4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karir</w:t>
            </w:r>
            <w:proofErr w:type="spellEnd"/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5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0.823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6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7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Reliabel</w:t>
            </w:r>
            <w:proofErr w:type="spellEnd"/>
          </w:p>
        </w:tc>
      </w:tr>
      <w:tr w:rsidR="009751FD" w14:paraId="09AB531A" w14:textId="77777777">
        <w:trPr>
          <w:trHeight w:val="450"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8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Takut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Covid-19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9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A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B" w14:textId="77777777" w:rsidR="009751FD" w:rsidRDefault="00B94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Reliabel</w:t>
            </w:r>
            <w:proofErr w:type="spellEnd"/>
          </w:p>
        </w:tc>
      </w:tr>
    </w:tbl>
    <w:p w14:paraId="0000006C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06D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pada uji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reliabilitas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dilihat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Cronbach's Alpha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seluruh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0,6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semua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dinyatakan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reliabel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6E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</w:p>
    <w:p w14:paraId="0000006F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HASIL DAN PEMBAHASAN</w:t>
      </w:r>
    </w:p>
    <w:p w14:paraId="00000070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</w:p>
    <w:p w14:paraId="00000071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Berikut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profil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72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2.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Profil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</w:p>
    <w:tbl>
      <w:tblPr>
        <w:tblStyle w:val="a0"/>
        <w:tblW w:w="3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0"/>
        <w:gridCol w:w="1300"/>
        <w:gridCol w:w="1300"/>
      </w:tblGrid>
      <w:tr w:rsidR="009751FD" w14:paraId="0C9FD401" w14:textId="77777777">
        <w:trPr>
          <w:trHeight w:val="30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Frekuensi</w:t>
            </w:r>
            <w:proofErr w:type="spellEnd"/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Persentase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%</w:t>
            </w:r>
          </w:p>
        </w:tc>
      </w:tr>
      <w:tr w:rsidR="009751FD" w14:paraId="6A94EFBF" w14:textId="77777777">
        <w:trPr>
          <w:trHeight w:val="525"/>
        </w:trPr>
        <w:tc>
          <w:tcPr>
            <w:tcW w:w="390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6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Aktif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Program Hotel Management Universitas Kristen Petra</w:t>
            </w:r>
          </w:p>
        </w:tc>
      </w:tr>
      <w:tr w:rsidR="009751FD" w14:paraId="6EBE53DE" w14:textId="77777777">
        <w:trPr>
          <w:trHeight w:val="300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146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100%</w:t>
            </w:r>
          </w:p>
        </w:tc>
      </w:tr>
      <w:tr w:rsidR="009751FD" w14:paraId="16A4518E" w14:textId="77777777">
        <w:trPr>
          <w:trHeight w:val="300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D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E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-</w:t>
            </w:r>
          </w:p>
        </w:tc>
      </w:tr>
      <w:tr w:rsidR="009751FD" w14:paraId="38D96943" w14:textId="77777777">
        <w:trPr>
          <w:trHeight w:val="300"/>
        </w:trPr>
        <w:tc>
          <w:tcPr>
            <w:tcW w:w="390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F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Angkatan</w:t>
            </w:r>
          </w:p>
        </w:tc>
      </w:tr>
      <w:tr w:rsidR="009751FD" w14:paraId="07A7FD6B" w14:textId="77777777">
        <w:trPr>
          <w:trHeight w:val="300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2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107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73.30%</w:t>
            </w:r>
          </w:p>
        </w:tc>
      </w:tr>
      <w:tr w:rsidR="009751FD" w14:paraId="52B1AFB0" w14:textId="77777777">
        <w:trPr>
          <w:trHeight w:val="300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2017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26%</w:t>
            </w:r>
          </w:p>
        </w:tc>
      </w:tr>
      <w:tr w:rsidR="009751FD" w14:paraId="05ADC729" w14:textId="77777777">
        <w:trPr>
          <w:trHeight w:val="300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2016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0.70%</w:t>
            </w:r>
          </w:p>
        </w:tc>
      </w:tr>
    </w:tbl>
    <w:p w14:paraId="0000008B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didominasi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angkatan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2018,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sejumlah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107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(73.3%).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angkatan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sejumlah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38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(26%) dan 1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angkatan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2016 (0.7%).</w:t>
      </w:r>
    </w:p>
    <w:p w14:paraId="0000008C" w14:textId="77777777" w:rsidR="009751FD" w:rsidRDefault="009751F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08D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Analisis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Deskriptif</w:t>
      </w:r>
      <w:proofErr w:type="spellEnd"/>
    </w:p>
    <w:p w14:paraId="0000008E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Berikut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deskriptif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disebarkan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08F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3.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Mean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Standar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Deviasi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</w:p>
    <w:tbl>
      <w:tblPr>
        <w:tblStyle w:val="a1"/>
        <w:tblW w:w="3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1455"/>
        <w:gridCol w:w="550"/>
        <w:gridCol w:w="550"/>
        <w:gridCol w:w="550"/>
      </w:tblGrid>
      <w:tr w:rsidR="009751FD" w14:paraId="76BE29A9" w14:textId="77777777">
        <w:trPr>
          <w:trHeight w:val="330"/>
        </w:trPr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0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Efikasi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1FD" w14:paraId="78513A51" w14:textId="77777777">
        <w:trPr>
          <w:trHeight w:val="330"/>
        </w:trPr>
        <w:tc>
          <w:tcPr>
            <w:tcW w:w="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Pernyataan</w:t>
            </w:r>
            <w:proofErr w:type="spellEnd"/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Std.Deviasi</w:t>
            </w:r>
            <w:proofErr w:type="spellEnd"/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51FD" w14:paraId="5F37346D" w14:textId="77777777">
        <w:trPr>
          <w:trHeight w:val="585"/>
        </w:trPr>
        <w:tc>
          <w:tcPr>
            <w:tcW w:w="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PD1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B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gaya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hidup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paling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inginkan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hidup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4.38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D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E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63E3354D" w14:textId="77777777">
        <w:trPr>
          <w:trHeight w:val="585"/>
        </w:trPr>
        <w:tc>
          <w:tcPr>
            <w:tcW w:w="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F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PD2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0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mengukur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1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4.19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2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1E80C6E8" w14:textId="77777777">
        <w:trPr>
          <w:trHeight w:val="840"/>
        </w:trPr>
        <w:tc>
          <w:tcPr>
            <w:tcW w:w="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PD3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5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terus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mengembangkan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karir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meskipun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nantinya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dihadapkan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tekanan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bekerja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4.33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4D5B7664" w14:textId="77777777">
        <w:trPr>
          <w:trHeight w:val="585"/>
        </w:trPr>
        <w:tc>
          <w:tcPr>
            <w:tcW w:w="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PD4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A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ideal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dimasa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depan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4.07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D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</w:tbl>
    <w:p w14:paraId="000000AE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16"/>
          <w:szCs w:val="16"/>
          <w:vertAlign w:val="superscript"/>
        </w:rPr>
      </w:pPr>
    </w:p>
    <w:tbl>
      <w:tblPr>
        <w:tblStyle w:val="a2"/>
        <w:tblW w:w="38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1"/>
        <w:gridCol w:w="1305"/>
        <w:gridCol w:w="627"/>
        <w:gridCol w:w="540"/>
        <w:gridCol w:w="611"/>
      </w:tblGrid>
      <w:tr w:rsidR="009751FD" w14:paraId="48D9B870" w14:textId="77777777">
        <w:trPr>
          <w:trHeight w:val="330"/>
        </w:trPr>
        <w:tc>
          <w:tcPr>
            <w:tcW w:w="3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F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Efikasi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1FD" w14:paraId="63857FEB" w14:textId="77777777">
        <w:trPr>
          <w:trHeight w:val="33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Pernyataan</w:t>
            </w:r>
            <w:proofErr w:type="spellEnd"/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B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Std.Deviasi</w:t>
            </w:r>
            <w:proofErr w:type="spellEnd"/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B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51FD" w14:paraId="13895568" w14:textId="77777777">
        <w:trPr>
          <w:trHeight w:val="84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B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IP1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BA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komunikasi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seseorang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bekerja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minati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B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3.87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B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BD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169E3400" w14:textId="77777777">
        <w:trPr>
          <w:trHeight w:val="585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BE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IP2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BF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mencari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tahu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pendapatan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tahunan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rata-rata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pekerja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suatu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0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3.73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1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2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4E3DA6D6" w14:textId="77777777">
        <w:trPr>
          <w:trHeight w:val="585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IP3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4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mencari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tahu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tren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sepuluh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depan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3.66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2E363A7B" w14:textId="77777777">
        <w:trPr>
          <w:trHeight w:val="84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IP4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9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mencari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online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ataupun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cetak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cocok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4.23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C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</w:tbl>
    <w:p w14:paraId="000000CD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16"/>
          <w:szCs w:val="16"/>
          <w:vertAlign w:val="superscript"/>
        </w:rPr>
      </w:pPr>
    </w:p>
    <w:tbl>
      <w:tblPr>
        <w:tblStyle w:val="a3"/>
        <w:tblW w:w="3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350"/>
        <w:gridCol w:w="630"/>
        <w:gridCol w:w="540"/>
        <w:gridCol w:w="615"/>
      </w:tblGrid>
      <w:tr w:rsidR="009751FD" w14:paraId="716E593F" w14:textId="77777777">
        <w:trPr>
          <w:trHeight w:val="330"/>
        </w:trPr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E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Efikasi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Karir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1FD" w14:paraId="3162BA8D" w14:textId="77777777">
        <w:trPr>
          <w:trHeight w:val="33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Pernyataan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Std.Deviasi</w:t>
            </w:r>
            <w:proofErr w:type="spellEnd"/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D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51FD" w14:paraId="339B8605" w14:textId="77777777">
        <w:trPr>
          <w:trHeight w:val="84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D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RK1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D9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paham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siap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siap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berkorban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demi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mencapai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berkarir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D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4.27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D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D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70713CA3" w14:textId="77777777">
        <w:trPr>
          <w:trHeight w:val="34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DD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RK2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DE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menyiapkan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resume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DF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3.88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0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0.89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1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43303CB7" w14:textId="77777777">
        <w:trPr>
          <w:trHeight w:val="58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2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RK3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3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karir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lima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depan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3.95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0.90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2C9609EE" w14:textId="77777777">
        <w:trPr>
          <w:trHeight w:val="58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RK4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8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menghadapi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wawancara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berhasil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dimasa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depan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4.11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E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</w:tbl>
    <w:p w14:paraId="000000EC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16"/>
          <w:szCs w:val="16"/>
          <w:vertAlign w:val="superscript"/>
        </w:rPr>
      </w:pPr>
    </w:p>
    <w:tbl>
      <w:tblPr>
        <w:tblStyle w:val="a4"/>
        <w:tblW w:w="38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1"/>
        <w:gridCol w:w="1305"/>
        <w:gridCol w:w="627"/>
        <w:gridCol w:w="540"/>
        <w:gridCol w:w="611"/>
      </w:tblGrid>
      <w:tr w:rsidR="009751FD" w14:paraId="1307B3F3" w14:textId="77777777">
        <w:trPr>
          <w:trHeight w:val="330"/>
        </w:trPr>
        <w:tc>
          <w:tcPr>
            <w:tcW w:w="3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D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Efikasi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Karir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1FD" w14:paraId="298F2581" w14:textId="77777777">
        <w:trPr>
          <w:trHeight w:val="33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2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Pernyataan</w:t>
            </w:r>
            <w:proofErr w:type="spellEnd"/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Std.Deviasi</w:t>
            </w:r>
            <w:proofErr w:type="spellEnd"/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F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51FD" w14:paraId="739E907D" w14:textId="77777777">
        <w:trPr>
          <w:trHeight w:val="585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F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PK1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8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minat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F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4.23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F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F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251A0851" w14:textId="77777777">
        <w:trPr>
          <w:trHeight w:val="585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F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PK2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D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karir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gaya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hidup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FE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4.33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FF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00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72BDDD78" w14:textId="77777777">
        <w:trPr>
          <w:trHeight w:val="84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01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PK3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2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potensial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sedang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pertimbangkan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0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4.24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0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0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78E640D2" w14:textId="77777777">
        <w:trPr>
          <w:trHeight w:val="84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0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PK4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7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mengidentifikasi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kemungkinan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penawaran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menarik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institusi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syarat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ditentukan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0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4.10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0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0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</w:tbl>
    <w:p w14:paraId="0000010B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16"/>
          <w:szCs w:val="16"/>
          <w:vertAlign w:val="superscript"/>
        </w:rPr>
      </w:pPr>
    </w:p>
    <w:tbl>
      <w:tblPr>
        <w:tblStyle w:val="a5"/>
        <w:tblW w:w="38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6"/>
        <w:gridCol w:w="1320"/>
        <w:gridCol w:w="627"/>
        <w:gridCol w:w="540"/>
        <w:gridCol w:w="611"/>
      </w:tblGrid>
      <w:tr w:rsidR="009751FD" w14:paraId="3451BEC9" w14:textId="77777777">
        <w:trPr>
          <w:trHeight w:val="330"/>
        </w:trPr>
        <w:tc>
          <w:tcPr>
            <w:tcW w:w="3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Efikasi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Pemecahan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1FD" w14:paraId="3F1100A8" w14:textId="77777777">
        <w:trPr>
          <w:trHeight w:val="330"/>
        </w:trPr>
        <w:tc>
          <w:tcPr>
            <w:tcW w:w="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1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2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Pernyataan</w:t>
            </w:r>
            <w:proofErr w:type="spellEnd"/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Std.Deviasi</w:t>
            </w:r>
            <w:proofErr w:type="spellEnd"/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51FD" w14:paraId="0A530C7E" w14:textId="77777777">
        <w:trPr>
          <w:trHeight w:val="1374"/>
        </w:trPr>
        <w:tc>
          <w:tcPr>
            <w:tcW w:w="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PM1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7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berganti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profesi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puas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profesi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jalani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kelak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4.18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2F1300FC" w14:textId="77777777">
        <w:trPr>
          <w:trHeight w:val="585"/>
        </w:trPr>
        <w:tc>
          <w:tcPr>
            <w:tcW w:w="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PM2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C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PM2. 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keputusan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karir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keraguan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kemudian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D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4.10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E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F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</w:tbl>
    <w:p w14:paraId="00000120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18"/>
          <w:szCs w:val="18"/>
          <w:vertAlign w:val="superscript"/>
        </w:rPr>
      </w:pPr>
    </w:p>
    <w:p w14:paraId="00000121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terkait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11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PD1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mean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4.38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standar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deviasi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0.60. Hal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diartikan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Universitas Kristen Petra program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studi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jenis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gaya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hidup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paling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hidup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mean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terkecil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IP3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3.66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standar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deviasi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1.01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diartikan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mencari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tren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sepuluh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122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4.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Mean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Standar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Deviasi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Hasil</w:t>
      </w:r>
    </w:p>
    <w:tbl>
      <w:tblPr>
        <w:tblStyle w:val="a6"/>
        <w:tblW w:w="38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1"/>
        <w:gridCol w:w="1335"/>
        <w:gridCol w:w="627"/>
        <w:gridCol w:w="540"/>
        <w:gridCol w:w="611"/>
      </w:tblGrid>
      <w:tr w:rsidR="009751FD" w14:paraId="07199AC4" w14:textId="77777777">
        <w:trPr>
          <w:trHeight w:val="330"/>
        </w:trPr>
        <w:tc>
          <w:tcPr>
            <w:tcW w:w="3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Ekspektasi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Hasil</w:t>
            </w:r>
          </w:p>
        </w:tc>
      </w:tr>
      <w:tr w:rsidR="009751FD" w14:paraId="7C531529" w14:textId="77777777">
        <w:trPr>
          <w:trHeight w:val="330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Pernyataan</w:t>
            </w:r>
            <w:proofErr w:type="spellEnd"/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Std.Deviasi</w:t>
            </w:r>
            <w:proofErr w:type="spellEnd"/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2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51FD" w14:paraId="1A5FBC6F" w14:textId="77777777">
        <w:trPr>
          <w:trHeight w:val="58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2D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EH2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2E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Memperoleh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pendapatan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tetap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sebuah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karir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2F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0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1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65CCAF96" w14:textId="77777777">
        <w:trPr>
          <w:trHeight w:val="58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2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EH3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3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kenaikan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jabatan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4.48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7878EF58" w14:textId="77777777">
        <w:trPr>
          <w:trHeight w:val="58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EH4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8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status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martabat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sebuah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karir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4.24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52830BB6" w14:textId="77777777">
        <w:trPr>
          <w:trHeight w:val="58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EH5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D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menarik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E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4.51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3F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40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086531FE" w14:textId="77777777">
        <w:trPr>
          <w:trHeight w:val="58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41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EH6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42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kebebasan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bekerja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4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4.50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4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4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2D3B8DD4" w14:textId="77777777">
        <w:trPr>
          <w:trHeight w:val="58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4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EH7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47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menantang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hal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4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4.05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4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4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</w:tbl>
    <w:p w14:paraId="0000014B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14C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terkait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EH1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mean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4.55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standar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deviasi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0.69. Hal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diartikan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pendapatan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tetap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melalui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sebuah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Universitas Kristen Petra program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studi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ean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terkecil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</w:t>
      </w:r>
    </w:p>
    <w:p w14:paraId="0000014D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5.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Mean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Standar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Deviasi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</w:p>
    <w:tbl>
      <w:tblPr>
        <w:tblStyle w:val="a7"/>
        <w:tblW w:w="38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1"/>
        <w:gridCol w:w="1305"/>
        <w:gridCol w:w="627"/>
        <w:gridCol w:w="540"/>
        <w:gridCol w:w="611"/>
      </w:tblGrid>
      <w:tr w:rsidR="009751FD" w14:paraId="60BCCC77" w14:textId="77777777">
        <w:trPr>
          <w:trHeight w:val="330"/>
        </w:trPr>
        <w:tc>
          <w:tcPr>
            <w:tcW w:w="3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E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Karir</w:t>
            </w:r>
            <w:proofErr w:type="spellEnd"/>
          </w:p>
        </w:tc>
      </w:tr>
      <w:tr w:rsidR="009751FD" w14:paraId="45FCD1E3" w14:textId="77777777">
        <w:trPr>
          <w:trHeight w:val="518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Pernyataan</w:t>
            </w:r>
            <w:proofErr w:type="spellEnd"/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Std.Deviasi</w:t>
            </w:r>
            <w:proofErr w:type="spellEnd"/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5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51FD" w14:paraId="0F0CD772" w14:textId="77777777">
        <w:trPr>
          <w:trHeight w:val="33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5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TK1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9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bekerja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perhotelan</w:t>
            </w:r>
            <w:proofErr w:type="spellEnd"/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5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3.73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5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5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7AB1EC0E" w14:textId="77777777">
        <w:trPr>
          <w:trHeight w:val="585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5D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TK2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E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yakin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membangun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karir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perhotelan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5F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3.32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60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61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Antara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Setuju</w:t>
            </w:r>
            <w:proofErr w:type="spellEnd"/>
          </w:p>
        </w:tc>
      </w:tr>
    </w:tbl>
    <w:p w14:paraId="00000162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TK1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mean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dibandingkan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TK2.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diartikan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163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6.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Mean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Standar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Deviasi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Akan Covid-19</w:t>
      </w:r>
    </w:p>
    <w:tbl>
      <w:tblPr>
        <w:tblStyle w:val="a8"/>
        <w:tblW w:w="40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335"/>
        <w:gridCol w:w="630"/>
        <w:gridCol w:w="555"/>
        <w:gridCol w:w="735"/>
      </w:tblGrid>
      <w:tr w:rsidR="009751FD" w14:paraId="16B9C568" w14:textId="77777777">
        <w:trPr>
          <w:trHeight w:val="330"/>
        </w:trPr>
        <w:tc>
          <w:tcPr>
            <w:tcW w:w="4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6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Takut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Akan Covid-19</w:t>
            </w:r>
          </w:p>
        </w:tc>
      </w:tr>
      <w:tr w:rsidR="009751FD" w14:paraId="6FD6E50B" w14:textId="77777777">
        <w:trPr>
          <w:trHeight w:val="330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6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6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Pernyataan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6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6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Std.Deviasi</w:t>
            </w:r>
            <w:proofErr w:type="spellEnd"/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6D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51FD" w14:paraId="221DD507" w14:textId="77777777">
        <w:trPr>
          <w:trHeight w:val="330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6E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TC1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6F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takut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Covid-19.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0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3.73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1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2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6D823519" w14:textId="77777777">
        <w:trPr>
          <w:trHeight w:val="58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3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4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Berpikir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Covid-19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perasaan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nyaman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373BEBD4" w14:textId="77777777">
        <w:trPr>
          <w:trHeight w:val="58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8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TC3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9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berkeringat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berpikir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coronavirus-19.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10D305A7" w14:textId="77777777">
        <w:trPr>
          <w:trHeight w:val="330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D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TC4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E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takut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kehilangan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nyawa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Covid-19.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7F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3.62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0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1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0A8C7EC9" w14:textId="77777777">
        <w:trPr>
          <w:trHeight w:val="58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2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TC5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3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menonton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berita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cerita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Covid-19 di media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gugup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cemas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4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2.09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5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6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4AE89174" w14:textId="77777777">
        <w:trPr>
          <w:trHeight w:val="58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7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TC6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8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tidur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khawatir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terkena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Covid-19.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9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A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B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  <w:tr w:rsidR="009751FD" w14:paraId="5720DDF7" w14:textId="77777777">
        <w:trPr>
          <w:trHeight w:val="58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C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TC7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D" w14:textId="77777777" w:rsidR="009751FD" w:rsidRDefault="00B94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Jantung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berdetak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kencang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berdebar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berpikir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terpapar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 xml:space="preserve"> Covid-19.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E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8F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90" w14:textId="77777777" w:rsidR="009751FD" w:rsidRDefault="00B9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Setuju</w:t>
            </w:r>
            <w:proofErr w:type="spellEnd"/>
          </w:p>
        </w:tc>
      </w:tr>
    </w:tbl>
    <w:p w14:paraId="00000191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192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terlihat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terkait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TC1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mean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3.73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standar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deviasi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1.02. Hal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diartikan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Universitas Kristen Petra program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studi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mean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terkecil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TC3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1.72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standar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deviasi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0.94,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berpikir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tentang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coronavirus-19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tangannya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berkeringat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193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194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Evaluasi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Outer Model</w:t>
      </w:r>
    </w:p>
    <w:p w14:paraId="00000195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Validitas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Konvergen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</w:p>
    <w:p w14:paraId="00000196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Mengukur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validitas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konvergen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melihat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masing-masing loading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dikatakan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validitas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konvergen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apabila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loading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&gt; 0.5.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Apabila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lastRenderedPageBreak/>
        <w:t>memenuhi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dibuang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dihitung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kembali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Berikut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faktor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loading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: </w:t>
      </w:r>
    </w:p>
    <w:p w14:paraId="00000197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Gambar 1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Validitas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Konvergen</w:t>
      </w:r>
      <w:proofErr w:type="spellEnd"/>
    </w:p>
    <w:p w14:paraId="00000198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  <w:vertAlign w:val="superscript"/>
        </w:rPr>
        <w:drawing>
          <wp:inline distT="114300" distB="114300" distL="114300" distR="114300">
            <wp:extent cx="2859149" cy="222142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149" cy="2221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Validitas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Diskriminan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</w:p>
    <w:p w14:paraId="00000199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Validitas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diskriminan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diketahui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pengukuran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cross loadings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konstruknya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Berikut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cross loading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19A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7.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Validitas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Diskriminan</w:t>
      </w:r>
      <w:proofErr w:type="spellEnd"/>
    </w:p>
    <w:tbl>
      <w:tblPr>
        <w:tblStyle w:val="a9"/>
        <w:tblW w:w="2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645"/>
        <w:gridCol w:w="765"/>
        <w:gridCol w:w="690"/>
      </w:tblGrid>
      <w:tr w:rsidR="009751FD" w14:paraId="22F029DE" w14:textId="77777777">
        <w:trPr>
          <w:trHeight w:val="31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9B" w14:textId="77777777" w:rsidR="009751FD" w:rsidRDefault="00975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9C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ED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9D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EH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9E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TK</w:t>
            </w:r>
          </w:p>
        </w:tc>
      </w:tr>
      <w:tr w:rsidR="009751FD" w14:paraId="7282FB05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9F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EH1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0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0.324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1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0.751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2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0.185</w:t>
            </w:r>
          </w:p>
        </w:tc>
      </w:tr>
      <w:tr w:rsidR="009751FD" w14:paraId="25E4D2B3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3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EH6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4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0.463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5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0.856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6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0.199</w:t>
            </w:r>
          </w:p>
        </w:tc>
      </w:tr>
      <w:tr w:rsidR="009751FD" w14:paraId="5673D573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7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IP2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8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9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A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9751FD" w14:paraId="34D06E00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B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IP2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C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D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E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9751FD" w14:paraId="3B18CBF2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F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IP3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0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0.638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1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2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0.074</w:t>
            </w:r>
          </w:p>
        </w:tc>
      </w:tr>
      <w:tr w:rsidR="009751FD" w14:paraId="4154C381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3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IP3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4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0.638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5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6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0.074</w:t>
            </w:r>
          </w:p>
        </w:tc>
      </w:tr>
      <w:tr w:rsidR="009751FD" w14:paraId="6BDCF55E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7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PD2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8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0.432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9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A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</w:tr>
      <w:tr w:rsidR="009751FD" w14:paraId="16BDF842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B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PD2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C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0.432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D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E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</w:tr>
      <w:tr w:rsidR="009751FD" w14:paraId="10E9BF0A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F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PD4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0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0.503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1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2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0.148</w:t>
            </w:r>
          </w:p>
        </w:tc>
      </w:tr>
      <w:tr w:rsidR="009751FD" w14:paraId="7252ABE9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3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PD4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4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0.503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5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6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0.148</w:t>
            </w:r>
          </w:p>
        </w:tc>
      </w:tr>
      <w:tr w:rsidR="009751FD" w14:paraId="6899FC35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7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PK2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8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0.521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9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0.464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A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0.095</w:t>
            </w:r>
          </w:p>
        </w:tc>
      </w:tr>
      <w:tr w:rsidR="009751FD" w14:paraId="766D731D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B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PK2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C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0.521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D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0.464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E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0.095</w:t>
            </w:r>
          </w:p>
        </w:tc>
      </w:tr>
      <w:tr w:rsidR="009751FD" w14:paraId="5FE61505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F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PK4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0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1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2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0.141</w:t>
            </w:r>
          </w:p>
        </w:tc>
      </w:tr>
      <w:tr w:rsidR="009751FD" w14:paraId="18C159D4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3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PK4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4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5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6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0.141</w:t>
            </w:r>
          </w:p>
        </w:tc>
      </w:tr>
      <w:tr w:rsidR="009751FD" w14:paraId="4C9FDAE7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7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PM2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8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0.612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9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A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9751FD" w14:paraId="2B9DB54C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B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PM2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C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0.612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D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E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9751FD" w14:paraId="5C40F53B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DF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RK2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0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0.587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1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0.194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2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0.086</w:t>
            </w:r>
          </w:p>
        </w:tc>
      </w:tr>
      <w:tr w:rsidR="009751FD" w14:paraId="430CC35B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3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RK2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4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0.587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5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0.194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6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0.086</w:t>
            </w:r>
          </w:p>
        </w:tc>
      </w:tr>
      <w:tr w:rsidR="009751FD" w14:paraId="5BAF5B9D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7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RK3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8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0.571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9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A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</w:tr>
      <w:tr w:rsidR="009751FD" w14:paraId="715A82E7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B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RK3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C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0.571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D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E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</w:tr>
      <w:tr w:rsidR="009751FD" w14:paraId="385CD533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EF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TK1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F0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F1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F2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0.892</w:t>
            </w:r>
          </w:p>
        </w:tc>
      </w:tr>
      <w:tr w:rsidR="009751FD" w14:paraId="5C6BD3FA" w14:textId="7777777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F3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TK2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F4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0.204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F5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F6" w14:textId="77777777" w:rsidR="009751FD" w:rsidRDefault="00B946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0.922</w:t>
            </w:r>
          </w:p>
        </w:tc>
      </w:tr>
    </w:tbl>
    <w:p w14:paraId="000001F7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1F8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cross loading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ED, EH, TK, dan TC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memprediksi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indikator-indikator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bloknya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dibandingkan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Pengukuran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validitas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diskriminan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membandingkan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AVE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setiap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konstruk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korelasi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konstruk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konstruk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model.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dikatakan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validitas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diskriminan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apabila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AVE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setiap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konstruk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korelasi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onstruk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konstruk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model. </w:t>
      </w:r>
    </w:p>
    <w:p w14:paraId="000001F9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1FA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3. Composite Reliability dan Cronbach’s Alpha </w:t>
      </w:r>
    </w:p>
    <w:p w14:paraId="000001FB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Menguji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reliabilitas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model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pengukuran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Cronbach’s Alpha dan composite reliability. Cronbach’s Alpha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mengestimasi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reliabilitas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keterkaitan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mengasumsikan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setiap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sama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. Nilai co</w:t>
      </w:r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mposite reliability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berkisar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0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hingga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1.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Semakin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tinggi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composite reliability,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semakin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tinggi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reliabilitas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(Hair, 2014),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composite reliability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dinilai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reliabel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apabila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bernilai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≥ 0,60 – 0,90.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Sedangkan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(</w:t>
      </w:r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Arista, 2015)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(Bambang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purnomosidhi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, 2014)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suatu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instrumen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dinyatakan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reliabel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apabila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Cronbach’s Alpha &gt;0,60 dan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composite reliability &gt;0,70. Akan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tetapi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pendapat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lainnya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dinyatakan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oleh (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Sofyan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Yamin,2009) Cronb</w:t>
      </w:r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ach’s Alpha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PLS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dikatakan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baik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apabila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≥0,5 dan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dikatakan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cukup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apabila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≥0,3.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minimum composite reliability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≥ 0,60 dan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minimum </w:t>
      </w:r>
      <w:proofErr w:type="spellStart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>cronbach’s</w:t>
      </w:r>
      <w:proofErr w:type="spellEnd"/>
      <w:r>
        <w:rPr>
          <w:rFonts w:ascii="Gungsuh" w:eastAsia="Gungsuh" w:hAnsi="Gungsuh" w:cs="Gungsuh"/>
          <w:color w:val="202124"/>
          <w:sz w:val="24"/>
          <w:szCs w:val="24"/>
          <w:vertAlign w:val="superscript"/>
        </w:rPr>
        <w:t xml:space="preserve"> alpha ≥0,3.</w:t>
      </w:r>
    </w:p>
    <w:p w14:paraId="000001FC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8.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Nilai Composite Reliability dan Cronbach’s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Alpha</w:t>
      </w:r>
    </w:p>
    <w:tbl>
      <w:tblPr>
        <w:tblStyle w:val="aa"/>
        <w:tblW w:w="3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0"/>
        <w:gridCol w:w="1300"/>
        <w:gridCol w:w="1300"/>
      </w:tblGrid>
      <w:tr w:rsidR="009751FD" w14:paraId="2FAFFE7B" w14:textId="77777777">
        <w:trPr>
          <w:trHeight w:val="315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FD" w14:textId="77777777" w:rsidR="009751FD" w:rsidRDefault="00975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FE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Cronbach's Alpha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FF" w14:textId="77777777" w:rsidR="009751FD" w:rsidRDefault="00B946C5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Composite Reliability</w:t>
            </w:r>
          </w:p>
        </w:tc>
      </w:tr>
      <w:tr w:rsidR="009751FD" w14:paraId="0DC2744D" w14:textId="77777777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0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ED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1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2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0.773</w:t>
            </w:r>
          </w:p>
        </w:tc>
      </w:tr>
      <w:tr w:rsidR="009751FD" w14:paraId="77F4699D" w14:textId="77777777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3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EH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4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0.462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5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0.786</w:t>
            </w:r>
          </w:p>
        </w:tc>
      </w:tr>
      <w:tr w:rsidR="009751FD" w14:paraId="76849C5A" w14:textId="77777777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6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Moderating Effect 1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7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0.943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8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0.928</w:t>
            </w:r>
          </w:p>
        </w:tc>
      </w:tr>
      <w:tr w:rsidR="009751FD" w14:paraId="586F0D53" w14:textId="77777777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9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Moderating Effect 2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A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0.943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B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0.938</w:t>
            </w:r>
          </w:p>
        </w:tc>
      </w:tr>
      <w:tr w:rsidR="009751FD" w14:paraId="375F00E5" w14:textId="77777777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C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Moderating Effect 3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D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0.792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E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0.559</w:t>
            </w:r>
          </w:p>
        </w:tc>
      </w:tr>
      <w:tr w:rsidR="009751FD" w14:paraId="52B21F91" w14:textId="77777777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F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TC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0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0.893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1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0.921</w:t>
            </w:r>
          </w:p>
        </w:tc>
      </w:tr>
      <w:tr w:rsidR="009751FD" w14:paraId="1671D75E" w14:textId="77777777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2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TK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3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0.786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4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0.903</w:t>
            </w:r>
          </w:p>
        </w:tc>
      </w:tr>
    </w:tbl>
    <w:p w14:paraId="00000215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</w:p>
    <w:p w14:paraId="00000216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Evaluasi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Inner Model </w:t>
      </w:r>
    </w:p>
    <w:p w14:paraId="00000217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1. Uji R-Square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ab/>
      </w:r>
    </w:p>
    <w:p w14:paraId="00000218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R-Square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dihasilkan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(TK)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0.134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perubahan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dependen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dijelaskan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independen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13.4%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sisanya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dijelaskan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kembali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diluar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Hasil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perhitungan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R-Square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Q-Square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0.134,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Q-Square &gt; 0.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disimpulkan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predictive relevance.  </w:t>
      </w:r>
    </w:p>
    <w:p w14:paraId="00000219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Gambar 2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Model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Struktural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21A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  <w:vertAlign w:val="superscript"/>
        </w:rPr>
        <w:drawing>
          <wp:inline distT="114300" distB="114300" distL="114300" distR="114300">
            <wp:extent cx="3057525" cy="20671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6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21B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diketahui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(ED)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IP3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dimensi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mencari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tren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sepuluh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tahun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kedepan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(EH)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EH6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menantang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(TK)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TK2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yakin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(TC)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TC6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tertinggi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khawatir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terkena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</w:t>
      </w:r>
    </w:p>
    <w:p w14:paraId="0000021C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21D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2. Uji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Hipotesis</w:t>
      </w:r>
      <w:proofErr w:type="spellEnd"/>
    </w:p>
    <w:p w14:paraId="0000021E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dua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(two-tailed)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t-statistics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harus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1,96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artiny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Nilai t-statistics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didapatkan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melalui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prosedur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bootstrapping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terlihat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dibawah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:</w:t>
      </w:r>
    </w:p>
    <w:p w14:paraId="0000021F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9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Uji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</w:p>
    <w:p w14:paraId="00000220" w14:textId="77777777" w:rsidR="009751FD" w:rsidRDefault="009751FD">
      <w:pPr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tbl>
      <w:tblPr>
        <w:tblStyle w:val="ab"/>
        <w:tblW w:w="4470" w:type="dxa"/>
        <w:tblInd w:w="-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975"/>
        <w:gridCol w:w="660"/>
        <w:gridCol w:w="810"/>
        <w:gridCol w:w="720"/>
        <w:gridCol w:w="555"/>
      </w:tblGrid>
      <w:tr w:rsidR="009751FD" w14:paraId="285FF4E3" w14:textId="77777777">
        <w:trPr>
          <w:trHeight w:val="881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1" w14:textId="77777777" w:rsidR="009751FD" w:rsidRDefault="00975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2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Original Sample (O)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3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Sample Mean (M)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4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Standard Deviation (STDEV)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5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 Statistics (|O/STDEV|)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6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 Values</w:t>
            </w:r>
          </w:p>
        </w:tc>
      </w:tr>
      <w:tr w:rsidR="009751FD" w14:paraId="044263BD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7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ED -&gt; EH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8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9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A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B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5.116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C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0..000</w:t>
            </w:r>
          </w:p>
        </w:tc>
      </w:tr>
      <w:tr w:rsidR="009751FD" w14:paraId="01F8F0C7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D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ED -&gt; TK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E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0.109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F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0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1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1.184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2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16"/>
                <w:szCs w:val="16"/>
              </w:rPr>
              <w:t>0.118</w:t>
            </w:r>
          </w:p>
        </w:tc>
      </w:tr>
      <w:tr w:rsidR="009751FD" w14:paraId="4639AEBA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3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EH -&gt; TK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4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0.145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5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0.107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6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7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1.478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8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16"/>
                <w:szCs w:val="16"/>
              </w:rPr>
              <w:t>0.07</w:t>
            </w:r>
          </w:p>
        </w:tc>
      </w:tr>
      <w:tr w:rsidR="009751FD" w14:paraId="2DF0E466" w14:textId="77777777">
        <w:trPr>
          <w:trHeight w:val="874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9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Moderating Effect 1 -&gt; EH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A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B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C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0.199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D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3E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16"/>
                <w:szCs w:val="16"/>
              </w:rPr>
              <w:t>0.099</w:t>
            </w:r>
          </w:p>
        </w:tc>
      </w:tr>
    </w:tbl>
    <w:p w14:paraId="0000023F" w14:textId="77777777" w:rsidR="009751FD" w:rsidRDefault="009751FD">
      <w:pPr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</w:p>
    <w:p w14:paraId="00000240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9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Uji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sambungan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)</w:t>
      </w:r>
    </w:p>
    <w:p w14:paraId="00000241" w14:textId="77777777" w:rsidR="009751FD" w:rsidRDefault="009751FD">
      <w:pPr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</w:p>
    <w:tbl>
      <w:tblPr>
        <w:tblStyle w:val="ac"/>
        <w:tblW w:w="4515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675"/>
        <w:gridCol w:w="630"/>
        <w:gridCol w:w="870"/>
        <w:gridCol w:w="720"/>
        <w:gridCol w:w="645"/>
      </w:tblGrid>
      <w:tr w:rsidR="009751FD" w14:paraId="0D76EAD5" w14:textId="77777777">
        <w:trPr>
          <w:trHeight w:val="45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2" w14:textId="77777777" w:rsidR="009751FD" w:rsidRDefault="00975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3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Original Sample (O)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4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Sample Mean (M)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5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Standard Deviation (STDEV)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6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 Statistics (|O/STDEV|)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7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 Values</w:t>
            </w:r>
          </w:p>
        </w:tc>
      </w:tr>
      <w:tr w:rsidR="009751FD" w14:paraId="261BB5B0" w14:textId="77777777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8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Moderating Effect 2 -&gt; TK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9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A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0.177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B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0.179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C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0.643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D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16"/>
                <w:szCs w:val="16"/>
              </w:rPr>
              <w:t>0.26</w:t>
            </w:r>
          </w:p>
        </w:tc>
      </w:tr>
      <w:tr w:rsidR="009751FD" w14:paraId="1015DF48" w14:textId="77777777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E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Moderating Effect 3 -&gt; TK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F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0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-0.037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1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2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3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16"/>
                <w:szCs w:val="16"/>
              </w:rPr>
              <w:t>0.426</w:t>
            </w:r>
          </w:p>
        </w:tc>
      </w:tr>
      <w:tr w:rsidR="009751FD" w14:paraId="3223856E" w14:textId="77777777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4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TC -&gt; TK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5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6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7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0.091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8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1.752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9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0.04</w:t>
            </w:r>
          </w:p>
        </w:tc>
      </w:tr>
      <w:tr w:rsidR="009751FD" w14:paraId="17C29040" w14:textId="77777777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A" w14:textId="77777777" w:rsidR="009751FD" w:rsidRDefault="00B946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TC (2) -&gt; EH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B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-0.052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C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D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E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0.485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5F" w14:textId="77777777" w:rsidR="009751FD" w:rsidRDefault="00B946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16"/>
                <w:szCs w:val="16"/>
              </w:rPr>
              <w:t>0.314</w:t>
            </w:r>
          </w:p>
        </w:tc>
      </w:tr>
    </w:tbl>
    <w:p w14:paraId="00000260" w14:textId="77777777" w:rsidR="009751FD" w:rsidRDefault="009751FD">
      <w:pPr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</w:p>
    <w:p w14:paraId="00000261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HASIL DAN PEMBAHASAN </w:t>
      </w:r>
    </w:p>
    <w:p w14:paraId="00000262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Antara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Hasil, dan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Covid-19</w:t>
      </w:r>
    </w:p>
    <w:p w14:paraId="00000263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Universitas Kristen Petra.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 statistics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5.116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1.96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8 juga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 values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0,000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kecil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0.05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pengolahan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pertama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diterima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Penerimaan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hipo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arti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positif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dimensi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meliputi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rencana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pilihan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emecahan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masalah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lastRenderedPageBreak/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pula. </w:t>
      </w:r>
    </w:p>
    <w:p w14:paraId="00000264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Original Sample (O) pada moderating effect 1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(ED)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(EH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(TC)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0.257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T-Statistic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1.29 (&gt;1.96)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moderating effect 1.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4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mengatakan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mengubah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Contohnya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mengatakan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19 ,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pendapatan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tetap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lalui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sebuah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terbukti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statistik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deskriptif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rata-rata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menjawab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rata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menjawab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setuju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265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</w:p>
    <w:p w14:paraId="00000266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Pen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garuh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Antara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Covid-19</w:t>
      </w:r>
    </w:p>
    <w:p w14:paraId="00000267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diketahui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Original Sample (O)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(ED)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(TK)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0.109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T-statistic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1.184 (&gt;1.96),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(ED)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(TK).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Diketahui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positif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5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dikarenakan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mengeksplorasi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seluruh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pastry, food and beverage, bar, front office, housekeeping, dan service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ataupun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kuliah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pajak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keuangan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asing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beserta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Operational Hours, Managerial Operational Hours , Professional Development Program,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magang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, dan study tour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pun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luar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kuliah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kursus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belajar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otodidak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menemukan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menarik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bidang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lain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luar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yakin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rinya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kata salah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Salah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bercerita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semester 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semester 4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berkesempatan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belajar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asing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Korea di Kin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g Sejong Institute, Universitas Kristen Petra,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tertarik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korea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dibandingkan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translator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korea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daripada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akupan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diberikan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cukup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luas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tertarik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bidang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manajerial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event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masih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banyak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terpaku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4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sulitnya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long hours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membutuhkan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fisik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optimal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mampu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268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Original Sample (O) moderating effect 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(ED)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(TK) yang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0.115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 Statistic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dihasilkan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0.643 (&gt;1.96)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moderating effect 2.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Original Sample (O) moderating effect 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(ED)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(TK) yang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0.115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 Statistic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ihasilkan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0.643 (&gt;1.96)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moderating effect 2.</w:t>
      </w:r>
    </w:p>
    <w:p w14:paraId="00000269" w14:textId="77777777" w:rsidR="009751FD" w:rsidRDefault="009751FD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26A" w14:textId="77777777" w:rsidR="009751FD" w:rsidRDefault="00B946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Antara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Hasil,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 xml:space="preserve"> Covid-19</w:t>
      </w:r>
    </w:p>
    <w:p w14:paraId="0000026B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(EH)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(TK)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Original Sample (O)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dihasilkan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0.145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T-Statistic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1.478 (&gt;1.96),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(EH)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(TK).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Menurut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2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daring,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kuliah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program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studi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menambah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relasi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mencari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mengeksplorasi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ilmu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Ketika lulus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menambah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bidang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tertentu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peluang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Contoh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mewawancarai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kebebasan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bakery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bebas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berkreasi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usaha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tanpa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batasan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tekanan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langkah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diambil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magang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mendaf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pastry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lulus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lastRenderedPageBreak/>
        <w:t>suatu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bakery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menambah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memulai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bisnis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bakery di masa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depan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</w:p>
    <w:p w14:paraId="0000026C" w14:textId="77777777" w:rsidR="009751FD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diketahui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Original Sample (O) pada moderating effect 3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H)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(TK)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sebesar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0.035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T-Statistic 0.187 (&gt;1.96)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berarti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negatif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moderating effect 3.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ditarik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kesimpulan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70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tetap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dikatakan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2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wancara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masih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ragu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Alasan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mengapa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masih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ragu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mencoba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terlebih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dahulu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memutuskan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apakah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sebaliknya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melalui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menemukan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sesuai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ekspektasinya</w:t>
      </w:r>
      <w:proofErr w:type="spellEnd"/>
    </w:p>
    <w:p w14:paraId="0000026D" w14:textId="77777777" w:rsidR="009751FD" w:rsidRDefault="009751F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</w:p>
    <w:p w14:paraId="0000026E" w14:textId="77777777" w:rsidR="009751FD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SIMPULAN DAN SARAN</w:t>
      </w:r>
    </w:p>
    <w:p w14:paraId="0000026F" w14:textId="77777777" w:rsidR="009751FD" w:rsidRPr="002C7194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maka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kesimpula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ditarik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positif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ditun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dimensi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meliputi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rencana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pilihan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pemecahan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masalah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sangat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pula.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dibuat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moderasi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dilihat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disebabkan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mengubah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itu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berpengaruh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seca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hotel management Universitas Kristen Petra.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Dikarenakan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ketertarikan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lain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membuka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usaha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investasi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saham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</w:t>
      </w:r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mampu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melakukannya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juga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mampu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bekerja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karena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long hours dan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membutuhkan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fisik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optimal. </w:t>
      </w:r>
    </w:p>
    <w:p w14:paraId="00000270" w14:textId="77777777" w:rsidR="009751FD" w:rsidRPr="002C7194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rasa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moderasi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juga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memperlemah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antar</w:t>
      </w:r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Melalui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wawancara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dilakukan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disimpulkan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bahwa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merubah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efikasi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yang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dimana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</w:t>
      </w:r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tersebut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lain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bakery dan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membuka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usaha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mikro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Berdasarkan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pengolahan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data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atas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dikatakan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memiliki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signifikan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</w:t>
      </w:r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Hal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disebabkan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karena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dalam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ketika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kuliah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program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studi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Management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menambah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relasi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mencari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mengeksplorasi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ilmu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Ketika lulus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ingin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menamba</w:t>
      </w:r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satu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bidang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tertentu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membuka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peluang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lain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Dan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moderasi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takut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Covid-19 juga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tidak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memperlemah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pengaruh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ekspektasi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hasil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terhadap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271" w14:textId="77777777" w:rsidR="009751FD" w:rsidRPr="002C7194" w:rsidRDefault="00B946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Dan juga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terdapat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beberapa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saran yan</w:t>
      </w:r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g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diberikan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oleh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yaitu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proofErr w:type="gram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Universitas Kristen Petra,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diketahui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masih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adanya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keraguan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pada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membangun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Disarankan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memberikan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pola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belajar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study tour,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kelas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minat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(florist, d</w:t>
      </w:r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an decoration) dan lain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sebagainya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menambah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ilmu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ketertarikan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pihak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hotel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khususnya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human resource department,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dengan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menawarkan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pengembangan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agar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berkembang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industri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segi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pengalaman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perilaku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kerja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dan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menambah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ilmu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berbagai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bidang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.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Sehingga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merasa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mendapat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nilai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mengembangkan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dirinya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menjadi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baik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menetapkan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</w:t>
      </w:r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ustri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dan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tentunya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bagi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peneliti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selanjutnya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,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menggunakan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variabel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independen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lain yang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mempengaruhi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tujuan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karir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seperti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misalnya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: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motivasi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atau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program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pengembangan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karyawan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yang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dapat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lebih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menarik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mahasiswa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untuk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berkarir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di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indu</w:t>
      </w:r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stri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proofErr w:type="spellStart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perhotelan</w:t>
      </w:r>
      <w:proofErr w:type="spellEnd"/>
      <w:r w:rsidRPr="002C7194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.</w:t>
      </w:r>
    </w:p>
    <w:p w14:paraId="00000272" w14:textId="77777777" w:rsidR="009751FD" w:rsidRPr="002C7194" w:rsidRDefault="009751F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</w:pPr>
    </w:p>
    <w:p w14:paraId="00000273" w14:textId="77777777" w:rsidR="009751FD" w:rsidRPr="002C7194" w:rsidRDefault="00B946C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</w:pPr>
      <w:r w:rsidRPr="002C7194">
        <w:rPr>
          <w:rFonts w:ascii="Times New Roman" w:eastAsia="Times New Roman" w:hAnsi="Times New Roman" w:cs="Times New Roman"/>
          <w:b/>
          <w:color w:val="202124"/>
          <w:sz w:val="24"/>
          <w:szCs w:val="24"/>
          <w:vertAlign w:val="superscript"/>
        </w:rPr>
        <w:t>DAFTAR REFERENSI</w:t>
      </w:r>
    </w:p>
    <w:p w14:paraId="55336723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Ahorsu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D. K., Lin, C.-Y., Imani, V.,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Saffari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M., Griffiths, M. D., &amp;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Pakpour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A. H. (2020). The Fear of COVID-19 Scale: Development and Initial Validation.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International Journal of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lastRenderedPageBreak/>
        <w:t>Mental Health and Addiction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. https://doi.org/10.1007/s11469-020-00270-8</w:t>
      </w:r>
    </w:p>
    <w:p w14:paraId="30088009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Badan Pusat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Statistik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. (2020).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Jumlah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Pekerja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Pada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Industri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Pariwisata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Dalam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Proporsi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Terhadap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Total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Pekerja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(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Persen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), 2017-2019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. Www.bps.go.id. https://www.bps.go.id/indicator/6/1190/1/jumlah-pekerja-pada-industri-pariwisata-dalam-proporsi-terhadap-total-pekerja.html</w:t>
      </w:r>
    </w:p>
    <w:p w14:paraId="51249656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Bandura, A. (1997). Self-efficacy: the exercise of control.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Choice Reviews Online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35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(03), 35–182635–1826. https://doi.org/10.5860/choice.35-1826</w:t>
      </w:r>
    </w:p>
    <w:p w14:paraId="03A83C82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Birtch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T. A., Chiang, F. F. T., Cai, Z., &amp; Wang, J. (2021). Am I choosing the right career? The implications of COVID-19 on the occupational attitudes of hospitality management students.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International Journal of Hospitality Management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95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(1473-8376), 102931. https://doi.org/10.1016/j.ijhm.2021.102931</w:t>
      </w:r>
    </w:p>
    <w:p w14:paraId="682603D7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Butijer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M. (2020, April 24).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Factors affecting students’ motivation to consider hospitality as their career choice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. Repository.acmt.hr. https://urn.nsk.hr/urn:nbn:hr:229:371244</w:t>
      </w:r>
    </w:p>
    <w:p w14:paraId="156E4D4A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Cantos, M.,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Sauña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J., De Ramos, H.,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Glyne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J.,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Dimaano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L.,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Lingon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R.,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Christia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J., &amp;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Pulhin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B. (2019). Career Decision Self-Efficacy among Students of Hospitality and Tourism Management.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Asia Pacific Journal of Education, Arts and Sciences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6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(3), 41–51. https://research.lpubatangas.edu.ph/wp-content/uploads/2019/08/APJEAS-2019-6.3-005.pdf</w:t>
      </w:r>
    </w:p>
    <w:p w14:paraId="4397BEDD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Chen, C.-C. (Bamboo), &amp; Chen, M.-H. (2021). Well-being and career change intention: COVID-19’s impact on unemployed and furloughed hospitality workers.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International Journal of Contemporary Hospitality Management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33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(8), 2500–2520. https://doi.org/10.1108/ijchm-07-2020-0759</w:t>
      </w:r>
    </w:p>
    <w:p w14:paraId="2F81F9DB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Chuang, N.-K., &amp;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Dellmann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-Jenkins, M. (2010). Career Decision Making and Intention: </w:t>
      </w:r>
      <w:proofErr w:type="gram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a</w:t>
      </w:r>
      <w:proofErr w:type="gram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 Study of Hospitality Undergraduate Students.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Journal of Hospitality &amp; Tourism Research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34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(4), 512–530. https://doi.org/10.1177/1096348010370867</w:t>
      </w:r>
    </w:p>
    <w:p w14:paraId="285B0AAC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Chuang, N.-K., Goh, B. K., Stout, B. L., &amp;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Dellmann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-Jenkins, M. (2007). Hospitality Undergraduate Students’ Career Choices and Factors Influencing Commitment to the Profession.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Journal of Hospitality &amp; Tourism Education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19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(4), 28–37. https://doi.org/10.1080/10963758.2007.10696902</w:t>
      </w:r>
    </w:p>
    <w:p w14:paraId="47B5203B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Condor Ferries. (2019).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Hotel Industry Statistics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. Condor Ferries. https://www.condorferries.co.uk/hotel-industry-statistics</w:t>
      </w:r>
    </w:p>
    <w:p w14:paraId="0AA256AC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Goh, E., &amp; Baum, T. (2021). Job perceptions of Generation Z hotel employees towards working in Covid-19 quarantine hotels: the role of meaningful work.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International Journal of Contemporary Hospitality Management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33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(5), 1688–1710. https://doi.org/10.1108/ijchm-11-2020-1295</w:t>
      </w:r>
    </w:p>
    <w:p w14:paraId="10E3B2CB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Hermawan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H.,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Brahmanto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E., &amp; Hamzah, F. (2018).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PENGANTAR MANAJEMEN HOSPITALITY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. https://doi.org/10.31227/osf.io/7cymx</w:t>
      </w:r>
    </w:p>
    <w:p w14:paraId="0A4ED2F7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Kim, H. (2017). Investigating the effects of work-family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spillovers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gender, and formal mentoring on career goal of managers.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International Journal of Manpower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38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(8), 1065–1085. https://doi.org/10.1108/ijm-09-2014-0186</w:t>
      </w:r>
    </w:p>
    <w:p w14:paraId="0D001092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Kustini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H. (2017).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General Hotel Management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 (pp. 2–5).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Deepublish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 Publisher. https://books.google.co.id/books?hl=en&amp;lr=&amp;id=jqdADwAAQBAJ&amp;oi=fnd&amp;pg=PA1&amp;dq=klasifikasi+pekerjaan+di+hotel+industry&amp;ots=qg4M_y_HDn&amp;sig=2MDP2nrlbLh41IWYx-hpNpJ54O8&amp;redir_esc=y#v=onepage&amp;q=klasifikasi%20pekerjaan%20di%20hotel%20industry&amp;f=false</w:t>
      </w:r>
    </w:p>
    <w:p w14:paraId="5688656A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Lent, R. W., Brown, S. D., &amp; Hackett, G. (1994). Toward a Unifying Social Cognitive Theory of Career and Academic Interest, Choice, and Performance.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Journal of Vocational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Behavior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45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(1), 79–122. https://doi.org/10.1006/jvbe.1994.1027</w:t>
      </w:r>
    </w:p>
    <w:p w14:paraId="49A76C13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Lent, R. W., Ireland, G. W., Penn, L. T., Morris, T. R., &amp; Sappington, R. (2017). Sources of self-efficacy and outcome expectations for career exploration and decision-making: A test of the social cognitive model of career self-management.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Journal of Vocational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Behavior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99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, 107–117. https://doi.org/10.1016/j.jvb.2017.01.002</w:t>
      </w:r>
    </w:p>
    <w:p w14:paraId="36E9E334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Mahmud, Md. S.,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Talukder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M. U., &amp; Rahman, Sk. M. (2020). Does “Fear of COVID-19” trigger future career anxiety? An empirical investigation considering depression from COVID-19 as a mediator.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International Journal of Social Psychiatry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, 002076402093548. https://doi.org/10.1177/0020764020935488</w:t>
      </w:r>
    </w:p>
    <w:p w14:paraId="45BE149D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Mansur, A. (2020, April 10).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Dampak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Covid-19, Banyak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Pekerja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Hotel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Dirumahkan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 (A.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Yulianto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, Ed.). REPUBLIKA.co.id. https://republika.co.id/berita/q8k1qz396/dampak-covid19-banyak-pekerja-hotel-dirumahkan</w:t>
      </w:r>
    </w:p>
    <w:p w14:paraId="282992E5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Mark NK Saunders, Lewis, P., Thornhill, A., &amp; Bristow, A. (2019).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“Research Methods for Business Students” Chapter 4: Understanding research philosophy and approaches to theory development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 (pp. 128–171). Pearson Education Limited. https://www.researchgate.net/publication/330760964_Research_Methods_for_Business_Students_Chapter_4_Understanding_research_philosophy_and_approaches_to_theory_development</w:t>
      </w:r>
    </w:p>
    <w:p w14:paraId="5DF51615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Nachmias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S., &amp; Walmsley, A. (2015). Making career decisions in a changing graduate labour market: A Hospitality perspective.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Journal of Hospitality, Leisure, Sport &amp; Tourism Education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17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, 50–58. https://doi.org/10.1016/j.jhlste.2015.09.001</w:t>
      </w:r>
    </w:p>
    <w:p w14:paraId="1E5D1AFE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lastRenderedPageBreak/>
        <w:t>Özışık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Yapıcı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O.,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Yıldırım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G., &amp; Bal, C. (2021). How Did Covid-19 Affected Career Intentions of Students Studying Tourism.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Journal of Tourism and Gastronomy Studies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9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(1), 84–98. https://doi.org/10.21325/jotags.2021.778</w:t>
      </w:r>
    </w:p>
    <w:p w14:paraId="74E1434F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Pusat Data dan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Sistem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Informasi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. (2021, February 2).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Tingkat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Penghunian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Kamar Hotel Bintang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Tahun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2020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.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Kemenparekraf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. https://kemenparekraf.go.id/statistik-akomodasi/Tingkat-Penghunian-Kamar-Hotel-Bintang-Tahun-2020</w:t>
      </w:r>
    </w:p>
    <w:p w14:paraId="00E02105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Pusparisa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Y. (2021, March).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PwC: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Industri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Perhotelan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dan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Hiburan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Paling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Terpukul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Pandemi</w:t>
      </w:r>
      <w:proofErr w:type="spellEnd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 | </w:t>
      </w:r>
      <w:proofErr w:type="spellStart"/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Databoks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 (D.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Jarot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Bayu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, Ed.). Databoks.katadata.co.id. https://databoks.katadata.co.id/datapublish/2021/04/13/pwc-industri-perhotelan-dan-hiburan-paling-terpukul-pandemi#</w:t>
      </w:r>
    </w:p>
    <w:p w14:paraId="315F5EE9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Reimons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S., &amp;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Hieronimus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A. D. (2020).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SIKAP DAN PERSEPSI MAHASISWA TERHADAP KARIR DI INDUSTRI PERHOTELAN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. https://dewey.petra.ac.id/catalog/digital/detail?id=48559</w:t>
      </w:r>
    </w:p>
    <w:p w14:paraId="32C8DCED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Richardson, S. (2010). Generation Y’s Perceptions and Attitudes Towards a Career in Tourism and Hospitality.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Journal of Human Resources in Hospitality &amp; Tourism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9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(2), 179–199. https://doi.org/10.1080/15332840903383855</w:t>
      </w:r>
    </w:p>
    <w:p w14:paraId="5ED02BA0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Schoenfeld, J., Segal, G., &amp; Borgia, D. (2017). Social cognitive career theory and the goal of becoming a certified public accountant.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Accounting Education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26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(2), 109–126. https://doi.org/10.1080/09639284.2016.1274909</w:t>
      </w:r>
    </w:p>
    <w:p w14:paraId="7326922B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Segal, G., Borgia, D., &amp; Schoenfeld, J. (2002). Using Social Cognitive Career Theory to Predict Self-Employment Goals.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New England Journal of Entrepreneurship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5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(2), 47–56. https://doi.org/10.1108/neje-05-02-2002-b007</w:t>
      </w:r>
    </w:p>
    <w:p w14:paraId="29C27981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Syakurah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R., Yuliana, I., &amp;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Siburian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R. (2020).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Relationships of Self-Efficacy, Outcome Expectation, Career Intention and Career Exploration in Nutrition Science Student’s Career Choice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. https://www.atlantis-press.com/article/125941326.pdf</w:t>
      </w:r>
    </w:p>
    <w:p w14:paraId="24BC0356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Tsai, C.-T. (Simon), Hsu, H., &amp; Yang, C.-C. (2017). Career decision self-efficacy plays a crucial role in hospitality undergraduates’ internship efficacy and career preparation.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Journal of Hospitality, Leisure, Sport &amp; Tourism Education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21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, 61–68. https://doi.org/10.1016/j.jhlste.2017.08.002</w:t>
      </w:r>
    </w:p>
    <w:p w14:paraId="5BD8B9EE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UNWTO. (2020).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Statistics | UNWTO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. Unwto.org. https://www.unwto.org/statistics</w:t>
      </w:r>
    </w:p>
    <w:p w14:paraId="2461C870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World Travel &amp; Tourism Council. (2018).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Travel and tourism impact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. https:// dossierturismo.files.wordpress.com/2018/03/wttc-global-economicimpact-and-issues-2018-eng.pdf</w:t>
      </w:r>
    </w:p>
    <w:p w14:paraId="56533685" w14:textId="77777777" w:rsidR="00C57662" w:rsidRPr="00C57662" w:rsidRDefault="00C57662" w:rsidP="00C57662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Zhong, Y. (Susan), Busser, J., </w:t>
      </w:r>
      <w:proofErr w:type="spellStart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Shapoval</w:t>
      </w:r>
      <w:proofErr w:type="spellEnd"/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 xml:space="preserve">, V., &amp; Murphy, K. (2021). Hospitality and Tourism Student Engagement and Hope During the COVID-19 Pandemic.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 xml:space="preserve">Journal of Hospitality &amp; </w:t>
      </w:r>
      <w:r w:rsidRPr="00C5766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vertAlign w:val="superscript"/>
          <w:lang w:val="en-ID"/>
        </w:rPr>
        <w:t>Tourism Education</w:t>
      </w:r>
      <w:r w:rsidRPr="00C57662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ID"/>
        </w:rPr>
        <w:t>, 1–13. https://doi.org/10.1080/10963758.2021.1907197</w:t>
      </w:r>
    </w:p>
    <w:p w14:paraId="00000296" w14:textId="515F713E" w:rsidR="009751FD" w:rsidRDefault="00C57662" w:rsidP="00C57662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7662">
        <w:rPr>
          <w:rFonts w:ascii="Times New Roman" w:eastAsia="Times New Roman" w:hAnsi="Times New Roman" w:cs="Times New Roman"/>
          <w:sz w:val="24"/>
          <w:szCs w:val="24"/>
          <w:lang w:val="en-ID"/>
        </w:rPr>
        <w:br/>
      </w:r>
      <w:r w:rsidRPr="00C57662">
        <w:rPr>
          <w:rFonts w:ascii="Times New Roman" w:eastAsia="Times New Roman" w:hAnsi="Times New Roman" w:cs="Times New Roman"/>
          <w:sz w:val="24"/>
          <w:szCs w:val="24"/>
          <w:lang w:val="en-ID"/>
        </w:rPr>
        <w:br/>
      </w:r>
      <w:r w:rsidRPr="00C57662">
        <w:rPr>
          <w:rFonts w:ascii="Times New Roman" w:eastAsia="Times New Roman" w:hAnsi="Times New Roman" w:cs="Times New Roman"/>
          <w:sz w:val="24"/>
          <w:szCs w:val="24"/>
          <w:lang w:val="en-ID"/>
        </w:rPr>
        <w:br/>
      </w:r>
    </w:p>
    <w:sectPr w:rsidR="009751FD" w:rsidSect="00F61587">
      <w:footerReference w:type="default" r:id="rId12"/>
      <w:type w:val="continuous"/>
      <w:pgSz w:w="11906" w:h="16838" w:code="9"/>
      <w:pgMar w:top="1701" w:right="1701" w:bottom="1701" w:left="1701" w:header="720" w:footer="720" w:gutter="0"/>
      <w:pgNumType w:start="1"/>
      <w:cols w:num="2" w:space="720" w:equalWidth="0">
        <w:col w:w="3891" w:space="720"/>
        <w:col w:w="3891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BB93" w14:textId="77777777" w:rsidR="00B946C5" w:rsidRDefault="00B946C5">
      <w:pPr>
        <w:spacing w:line="240" w:lineRule="auto"/>
      </w:pPr>
      <w:r>
        <w:separator/>
      </w:r>
    </w:p>
  </w:endnote>
  <w:endnote w:type="continuationSeparator" w:id="0">
    <w:p w14:paraId="1D3A66B6" w14:textId="77777777" w:rsidR="00B946C5" w:rsidRDefault="00B94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ngsuh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9" w14:textId="77777777" w:rsidR="009751FD" w:rsidRDefault="009751FD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0000029A" w14:textId="1B2B21D3" w:rsidR="009751FD" w:rsidRDefault="00B946C5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61587">
      <w:rPr>
        <w:b/>
        <w:noProof/>
      </w:rPr>
      <w:t>1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B" w14:textId="77777777" w:rsidR="009751FD" w:rsidRDefault="00975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95B4" w14:textId="77777777" w:rsidR="00B946C5" w:rsidRDefault="00B946C5">
      <w:pPr>
        <w:spacing w:line="240" w:lineRule="auto"/>
      </w:pPr>
      <w:r>
        <w:separator/>
      </w:r>
    </w:p>
  </w:footnote>
  <w:footnote w:type="continuationSeparator" w:id="0">
    <w:p w14:paraId="07097584" w14:textId="77777777" w:rsidR="00B946C5" w:rsidRDefault="00B94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C" w14:textId="045DBD13" w:rsidR="009751FD" w:rsidRDefault="00B946C5">
    <w:pPr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61587">
      <w:rPr>
        <w:b/>
        <w:noProof/>
      </w:rPr>
      <w:t>1</w:t>
    </w:r>
    <w:r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FD"/>
    <w:rsid w:val="002C7194"/>
    <w:rsid w:val="009751FD"/>
    <w:rsid w:val="00B946C5"/>
    <w:rsid w:val="00C57662"/>
    <w:rsid w:val="00DE0291"/>
    <w:rsid w:val="00F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C843"/>
  <w15:docId w15:val="{8598B00C-CBC5-4375-BC73-E6272DAB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7662"/>
    <w:rPr>
      <w:sz w:val="40"/>
      <w:szCs w:val="40"/>
    </w:rPr>
  </w:style>
  <w:style w:type="paragraph" w:styleId="Bibliography">
    <w:name w:val="Bibliography"/>
    <w:basedOn w:val="Normal"/>
    <w:next w:val="Normal"/>
    <w:uiPriority w:val="37"/>
    <w:unhideWhenUsed/>
    <w:rsid w:val="00C57662"/>
  </w:style>
  <w:style w:type="paragraph" w:styleId="NormalWeb">
    <w:name w:val="Normal (Web)"/>
    <w:basedOn w:val="Normal"/>
    <w:uiPriority w:val="99"/>
    <w:semiHidden/>
    <w:unhideWhenUsed/>
    <w:rsid w:val="00C5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Aho</b:Tag>
    <b:SourceType>JournalArticle</b:SourceType>
    <b:Guid>{36A69942-52F2-4ACC-8287-45DA37AF5FAF}</b:Guid>
    <b:Author>
      <b:Author>
        <b:NameList>
          <b:Person>
            <b:Last>Ahorsu</b:Last>
            <b:First>D.</b:First>
            <b:Middle>K., Lin, C.-Y., Imani, V., Saffari, M., Griffiths, M. D., &amp; Pakpour, A. H.</b:Middle>
          </b:Person>
        </b:NameList>
      </b:Author>
    </b:Author>
    <b:Title>The Fear of COVID-19 Scale: Development and Initial Validation. International Journal of Mental Health and Addiction.</b:Title>
    <b:URL>https://doi.org/10.1007/s11469-020-00270-8</b:URL>
    <b:RefOrder>1</b:RefOrder>
  </b:Source>
</b:Sources>
</file>

<file path=customXml/itemProps1.xml><?xml version="1.0" encoding="utf-8"?>
<ds:datastoreItem xmlns:ds="http://schemas.openxmlformats.org/officeDocument/2006/customXml" ds:itemID="{BFCCF8F6-59BB-4F3B-9327-3C196790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9702</Words>
  <Characters>55304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DIcky Dharmawan Sanjaya</cp:lastModifiedBy>
  <cp:revision>2</cp:revision>
  <dcterms:created xsi:type="dcterms:W3CDTF">2022-02-06T01:09:00Z</dcterms:created>
  <dcterms:modified xsi:type="dcterms:W3CDTF">2022-02-06T01:50:00Z</dcterms:modified>
</cp:coreProperties>
</file>