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3" w:rsidRDefault="00996943" w:rsidP="003E18D2">
      <w:pPr>
        <w:pStyle w:val="papertitle"/>
      </w:pPr>
      <w:r w:rsidRPr="00DD4E1D">
        <w:t>Title Starts Here: Please Center</w:t>
      </w:r>
      <w:r>
        <w:br/>
      </w:r>
      <w:r w:rsidR="00356807">
        <w:t>U</w:t>
      </w:r>
      <w:r>
        <w:t xml:space="preserve">se Times New </w:t>
      </w:r>
      <w:r w:rsidRPr="003E18D2">
        <w:t>Roman</w:t>
      </w:r>
      <w:r w:rsidRPr="00DD4E1D">
        <w:t xml:space="preserve"> 14</w:t>
      </w:r>
    </w:p>
    <w:p w:rsidR="00996943" w:rsidRPr="0088073B" w:rsidRDefault="00996943" w:rsidP="003E18D2">
      <w:pPr>
        <w:pStyle w:val="author"/>
        <w:rPr>
          <w:sz w:val="24"/>
          <w:szCs w:val="24"/>
        </w:rPr>
      </w:pPr>
      <w:r w:rsidRPr="0088073B">
        <w:rPr>
          <w:sz w:val="24"/>
          <w:szCs w:val="24"/>
        </w:rPr>
        <w:t>Full Name First Author</w:t>
      </w:r>
      <w:r w:rsidR="00ED4504">
        <w:rPr>
          <w:sz w:val="24"/>
          <w:szCs w:val="24"/>
          <w:vertAlign w:val="superscript"/>
        </w:rPr>
        <w:t xml:space="preserve">1 </w:t>
      </w:r>
      <w:r w:rsidRPr="0088073B">
        <w:rPr>
          <w:sz w:val="24"/>
          <w:szCs w:val="24"/>
        </w:rPr>
        <w:t>, Full Name Second Author</w:t>
      </w:r>
      <w:r w:rsidRPr="0088073B">
        <w:rPr>
          <w:sz w:val="24"/>
          <w:szCs w:val="24"/>
          <w:vertAlign w:val="superscript"/>
        </w:rPr>
        <w:t>2</w:t>
      </w:r>
      <w:r w:rsidR="00ED4504">
        <w:rPr>
          <w:sz w:val="24"/>
          <w:szCs w:val="24"/>
          <w:vertAlign w:val="superscript"/>
        </w:rPr>
        <w:t xml:space="preserve"> </w:t>
      </w:r>
      <w:r w:rsidRPr="0088073B">
        <w:rPr>
          <w:sz w:val="24"/>
          <w:szCs w:val="24"/>
        </w:rPr>
        <w:t>(Times New Roman 1</w:t>
      </w:r>
      <w:r w:rsidR="0088073B">
        <w:rPr>
          <w:sz w:val="24"/>
          <w:szCs w:val="24"/>
        </w:rPr>
        <w:t>2</w:t>
      </w:r>
      <w:r w:rsidRPr="0088073B">
        <w:rPr>
          <w:sz w:val="24"/>
          <w:szCs w:val="24"/>
        </w:rPr>
        <w:t>)</w:t>
      </w:r>
    </w:p>
    <w:p w:rsidR="00996943" w:rsidRPr="0088073B" w:rsidRDefault="00996943" w:rsidP="00996943">
      <w:pPr>
        <w:pStyle w:val="address"/>
        <w:rPr>
          <w:sz w:val="24"/>
          <w:szCs w:val="24"/>
        </w:rPr>
      </w:pPr>
      <w:r w:rsidRPr="0088073B">
        <w:rPr>
          <w:sz w:val="24"/>
          <w:szCs w:val="24"/>
          <w:vertAlign w:val="superscript"/>
        </w:rPr>
        <w:t>1</w:t>
      </w:r>
      <w:r w:rsidR="00D15E29">
        <w:rPr>
          <w:sz w:val="24"/>
          <w:szCs w:val="24"/>
        </w:rPr>
        <w:t>Affiliation</w:t>
      </w:r>
      <w:r w:rsidRPr="0088073B">
        <w:rPr>
          <w:sz w:val="24"/>
          <w:szCs w:val="24"/>
        </w:rPr>
        <w:t xml:space="preserve"> of the First Author, </w:t>
      </w:r>
      <w:r w:rsidR="00AB5940">
        <w:rPr>
          <w:sz w:val="24"/>
          <w:szCs w:val="24"/>
        </w:rPr>
        <w:t>Postel Address</w:t>
      </w:r>
      <w:r w:rsidRPr="0088073B">
        <w:rPr>
          <w:sz w:val="24"/>
          <w:szCs w:val="24"/>
          <w:lang w:val="id-ID"/>
        </w:rPr>
        <w:t xml:space="preserve"> </w:t>
      </w:r>
      <w:r w:rsidRPr="0088073B">
        <w:rPr>
          <w:sz w:val="24"/>
          <w:szCs w:val="24"/>
        </w:rPr>
        <w:t xml:space="preserve">(Times New Roman </w:t>
      </w:r>
      <w:r w:rsidR="0088073B" w:rsidRPr="0088073B">
        <w:rPr>
          <w:sz w:val="24"/>
          <w:szCs w:val="24"/>
        </w:rPr>
        <w:t>1</w:t>
      </w:r>
      <w:r w:rsidR="0088073B">
        <w:rPr>
          <w:sz w:val="24"/>
          <w:szCs w:val="24"/>
        </w:rPr>
        <w:t>2</w:t>
      </w:r>
      <w:r w:rsidRPr="0088073B">
        <w:rPr>
          <w:sz w:val="24"/>
          <w:szCs w:val="24"/>
        </w:rPr>
        <w:t>)</w:t>
      </w:r>
    </w:p>
    <w:p w:rsidR="00996943" w:rsidRPr="0088073B" w:rsidRDefault="00996943" w:rsidP="00996943">
      <w:pPr>
        <w:pStyle w:val="address"/>
        <w:rPr>
          <w:sz w:val="24"/>
          <w:szCs w:val="24"/>
          <w:lang w:val="id-ID"/>
        </w:rPr>
      </w:pPr>
      <w:r w:rsidRPr="0088073B">
        <w:rPr>
          <w:sz w:val="24"/>
          <w:szCs w:val="24"/>
          <w:vertAlign w:val="superscript"/>
        </w:rPr>
        <w:t>2</w:t>
      </w:r>
      <w:r w:rsidR="00D15E29" w:rsidRPr="00D15E29">
        <w:rPr>
          <w:sz w:val="24"/>
          <w:szCs w:val="24"/>
        </w:rPr>
        <w:t xml:space="preserve"> </w:t>
      </w:r>
      <w:r w:rsidR="00D15E29">
        <w:rPr>
          <w:sz w:val="24"/>
          <w:szCs w:val="24"/>
        </w:rPr>
        <w:t>Affiliation</w:t>
      </w:r>
      <w:r w:rsidRPr="0088073B">
        <w:rPr>
          <w:sz w:val="24"/>
          <w:szCs w:val="24"/>
        </w:rPr>
        <w:t xml:space="preserve"> of the Second Author, </w:t>
      </w:r>
      <w:r w:rsidR="00AB5940">
        <w:rPr>
          <w:sz w:val="24"/>
          <w:szCs w:val="24"/>
        </w:rPr>
        <w:t>Postel Address</w:t>
      </w:r>
      <w:r w:rsidRPr="0088073B">
        <w:rPr>
          <w:sz w:val="24"/>
          <w:szCs w:val="24"/>
          <w:lang w:val="id-ID"/>
        </w:rPr>
        <w:t xml:space="preserve"> (Times New Roman </w:t>
      </w:r>
      <w:r w:rsidR="0088073B" w:rsidRPr="0088073B">
        <w:rPr>
          <w:sz w:val="24"/>
          <w:szCs w:val="24"/>
        </w:rPr>
        <w:t>1</w:t>
      </w:r>
      <w:r w:rsidR="0088073B">
        <w:rPr>
          <w:sz w:val="24"/>
          <w:szCs w:val="24"/>
        </w:rPr>
        <w:t>2</w:t>
      </w:r>
      <w:r w:rsidRPr="0088073B">
        <w:rPr>
          <w:sz w:val="24"/>
          <w:szCs w:val="24"/>
          <w:lang w:val="id-ID"/>
        </w:rPr>
        <w:t>)</w:t>
      </w:r>
    </w:p>
    <w:p w:rsidR="00996943" w:rsidRPr="0088073B" w:rsidRDefault="00996943" w:rsidP="00996943">
      <w:pPr>
        <w:pStyle w:val="address"/>
        <w:rPr>
          <w:sz w:val="24"/>
          <w:szCs w:val="24"/>
          <w:lang w:val="id-ID"/>
        </w:rPr>
      </w:pPr>
      <w:r w:rsidRPr="0088073B">
        <w:rPr>
          <w:sz w:val="24"/>
          <w:szCs w:val="24"/>
          <w:vertAlign w:val="superscript"/>
        </w:rPr>
        <w:t>3</w:t>
      </w:r>
      <w:r w:rsidRPr="0088073B">
        <w:rPr>
          <w:sz w:val="24"/>
          <w:szCs w:val="24"/>
        </w:rPr>
        <w:t>List all distinct addresses in the same way as above</w:t>
      </w:r>
      <w:r w:rsidRPr="0088073B">
        <w:rPr>
          <w:sz w:val="24"/>
          <w:szCs w:val="24"/>
          <w:lang w:val="id-ID"/>
        </w:rPr>
        <w:t xml:space="preserve"> (Times New Roman </w:t>
      </w:r>
      <w:r w:rsidR="0088073B" w:rsidRPr="0088073B">
        <w:rPr>
          <w:sz w:val="24"/>
          <w:szCs w:val="24"/>
        </w:rPr>
        <w:t>1</w:t>
      </w:r>
      <w:r w:rsidR="0088073B">
        <w:rPr>
          <w:sz w:val="24"/>
          <w:szCs w:val="24"/>
        </w:rPr>
        <w:t>2</w:t>
      </w:r>
      <w:r w:rsidRPr="0088073B">
        <w:rPr>
          <w:sz w:val="24"/>
          <w:szCs w:val="24"/>
          <w:lang w:val="id-ID"/>
        </w:rPr>
        <w:t>)</w:t>
      </w:r>
    </w:p>
    <w:p w:rsidR="00996943" w:rsidRPr="0088073B" w:rsidRDefault="00132146" w:rsidP="003E18D2">
      <w:pPr>
        <w:pStyle w:val="address"/>
        <w:rPr>
          <w:rStyle w:val="e-mail"/>
          <w:sz w:val="24"/>
          <w:szCs w:val="24"/>
        </w:rPr>
      </w:pPr>
      <w:r>
        <w:rPr>
          <w:rStyle w:val="e-mail"/>
          <w:sz w:val="24"/>
          <w:szCs w:val="24"/>
          <w:vertAlign w:val="superscript"/>
        </w:rPr>
        <w:t>1</w:t>
      </w:r>
      <w:r>
        <w:rPr>
          <w:rStyle w:val="e-mail"/>
          <w:sz w:val="24"/>
          <w:szCs w:val="24"/>
        </w:rPr>
        <w:t>e</w:t>
      </w:r>
      <w:r w:rsidR="00996943" w:rsidRPr="0088073B">
        <w:rPr>
          <w:rStyle w:val="e-mail"/>
          <w:sz w:val="24"/>
          <w:szCs w:val="24"/>
        </w:rPr>
        <w:t xml:space="preserve">mail, </w:t>
      </w:r>
      <w:r>
        <w:rPr>
          <w:rStyle w:val="e-mail"/>
          <w:sz w:val="24"/>
          <w:szCs w:val="24"/>
          <w:vertAlign w:val="superscript"/>
        </w:rPr>
        <w:t>2</w:t>
      </w:r>
      <w:r w:rsidR="00996943" w:rsidRPr="0088073B">
        <w:rPr>
          <w:rStyle w:val="e-mail"/>
          <w:sz w:val="24"/>
          <w:szCs w:val="24"/>
        </w:rPr>
        <w:t xml:space="preserve">email, </w:t>
      </w:r>
      <w:r>
        <w:rPr>
          <w:rStyle w:val="e-mail"/>
          <w:sz w:val="24"/>
          <w:szCs w:val="24"/>
          <w:vertAlign w:val="superscript"/>
        </w:rPr>
        <w:t>3</w:t>
      </w:r>
      <w:r w:rsidR="00996943" w:rsidRPr="0088073B">
        <w:rPr>
          <w:rStyle w:val="e-mail"/>
          <w:sz w:val="24"/>
          <w:szCs w:val="24"/>
        </w:rPr>
        <w:t xml:space="preserve">email (Courier </w:t>
      </w:r>
      <w:r w:rsidR="0088073B" w:rsidRPr="0088073B">
        <w:rPr>
          <w:rStyle w:val="e-mail"/>
          <w:sz w:val="24"/>
          <w:szCs w:val="24"/>
        </w:rPr>
        <w:t>1</w:t>
      </w:r>
      <w:r w:rsidR="0088073B">
        <w:rPr>
          <w:rStyle w:val="e-mail"/>
          <w:sz w:val="24"/>
          <w:szCs w:val="24"/>
        </w:rPr>
        <w:t>2</w:t>
      </w:r>
      <w:r w:rsidR="00996943" w:rsidRPr="0088073B">
        <w:rPr>
          <w:rStyle w:val="e-mail"/>
          <w:sz w:val="24"/>
          <w:szCs w:val="24"/>
        </w:rPr>
        <w:t>)</w:t>
      </w:r>
    </w:p>
    <w:p w:rsidR="003E18D2" w:rsidRPr="00581CAF" w:rsidRDefault="003E18D2" w:rsidP="00581CAF">
      <w:pPr>
        <w:pStyle w:val="abstract"/>
        <w:tabs>
          <w:tab w:val="right" w:pos="8798"/>
        </w:tabs>
        <w:spacing w:before="0"/>
        <w:rPr>
          <w:b/>
          <w:u w:val="single"/>
        </w:rPr>
      </w:pPr>
      <w:r w:rsidRPr="00581CAF">
        <w:rPr>
          <w:b/>
          <w:u w:val="single"/>
        </w:rPr>
        <w:tab/>
      </w:r>
    </w:p>
    <w:p w:rsidR="00581CAF" w:rsidRPr="0088073B" w:rsidRDefault="00581CAF" w:rsidP="00581CAF">
      <w:pPr>
        <w:pStyle w:val="abstract"/>
        <w:rPr>
          <w:sz w:val="24"/>
          <w:szCs w:val="24"/>
        </w:rPr>
      </w:pPr>
      <w:r w:rsidRPr="0088073B">
        <w:rPr>
          <w:b/>
          <w:sz w:val="24"/>
          <w:szCs w:val="24"/>
        </w:rPr>
        <w:t>Abstract.</w:t>
      </w:r>
      <w:r w:rsidRPr="0088073B">
        <w:rPr>
          <w:sz w:val="24"/>
          <w:szCs w:val="24"/>
        </w:rPr>
        <w:t xml:space="preserve"> </w:t>
      </w:r>
      <w:r w:rsidR="00C73188">
        <w:rPr>
          <w:sz w:val="24"/>
          <w:szCs w:val="24"/>
        </w:rPr>
        <w:t xml:space="preserve">Abstract should not exceed </w:t>
      </w:r>
      <w:r w:rsidR="00C73188" w:rsidRPr="00127074">
        <w:rPr>
          <w:i/>
          <w:sz w:val="24"/>
          <w:szCs w:val="24"/>
        </w:rPr>
        <w:t>150 words</w:t>
      </w:r>
      <w:r w:rsidR="00C73188">
        <w:rPr>
          <w:sz w:val="24"/>
          <w:szCs w:val="24"/>
        </w:rPr>
        <w:t xml:space="preserve">. </w:t>
      </w:r>
      <w:r w:rsidR="00DD44F0">
        <w:rPr>
          <w:sz w:val="24"/>
          <w:szCs w:val="24"/>
        </w:rPr>
        <w:t xml:space="preserve">The abstract should </w:t>
      </w:r>
      <w:r w:rsidR="00512905">
        <w:rPr>
          <w:sz w:val="24"/>
          <w:szCs w:val="24"/>
        </w:rPr>
        <w:t>indicate</w:t>
      </w:r>
      <w:r w:rsidR="00DD44F0">
        <w:rPr>
          <w:sz w:val="24"/>
          <w:szCs w:val="24"/>
        </w:rPr>
        <w:t xml:space="preserve"> the subject and scope of the paper and summarize the author’s overall research</w:t>
      </w:r>
      <w:r w:rsidR="008023D5">
        <w:rPr>
          <w:sz w:val="24"/>
          <w:szCs w:val="24"/>
        </w:rPr>
        <w:t xml:space="preserve"> </w:t>
      </w:r>
      <w:r w:rsidR="008023D5" w:rsidRPr="0088073B">
        <w:rPr>
          <w:sz w:val="24"/>
          <w:szCs w:val="24"/>
        </w:rPr>
        <w:t>(Times New Roman 1</w:t>
      </w:r>
      <w:r w:rsidR="008023D5">
        <w:rPr>
          <w:sz w:val="24"/>
          <w:szCs w:val="24"/>
        </w:rPr>
        <w:t>2</w:t>
      </w:r>
      <w:r w:rsidR="008023D5" w:rsidRPr="0088073B">
        <w:rPr>
          <w:sz w:val="24"/>
          <w:szCs w:val="24"/>
        </w:rPr>
        <w:t>)</w:t>
      </w:r>
      <w:r w:rsidR="00DD44F0">
        <w:rPr>
          <w:sz w:val="24"/>
          <w:szCs w:val="24"/>
        </w:rPr>
        <w:t xml:space="preserve">. </w:t>
      </w:r>
    </w:p>
    <w:p w:rsidR="00996943" w:rsidRPr="0088073B" w:rsidRDefault="00996943" w:rsidP="00581CAF">
      <w:pPr>
        <w:pStyle w:val="keywords"/>
        <w:rPr>
          <w:sz w:val="24"/>
          <w:szCs w:val="24"/>
        </w:rPr>
      </w:pPr>
      <w:r w:rsidRPr="0088073B">
        <w:rPr>
          <w:b/>
          <w:sz w:val="24"/>
          <w:szCs w:val="24"/>
        </w:rPr>
        <w:t>Keywords:</w:t>
      </w:r>
      <w:r w:rsidRPr="0088073B">
        <w:rPr>
          <w:sz w:val="24"/>
          <w:szCs w:val="24"/>
        </w:rPr>
        <w:t xml:space="preserve"> </w:t>
      </w:r>
      <w:r w:rsidR="00ED4504">
        <w:rPr>
          <w:sz w:val="24"/>
          <w:szCs w:val="24"/>
        </w:rPr>
        <w:t>t</w:t>
      </w:r>
      <w:r w:rsidR="008023D5">
        <w:rPr>
          <w:sz w:val="24"/>
          <w:szCs w:val="24"/>
        </w:rPr>
        <w:t xml:space="preserve">hree to ten key words should be included </w:t>
      </w:r>
      <w:r w:rsidR="00ED4504">
        <w:rPr>
          <w:sz w:val="24"/>
          <w:szCs w:val="24"/>
        </w:rPr>
        <w:t>(times new r</w:t>
      </w:r>
      <w:bookmarkStart w:id="0" w:name="_GoBack"/>
      <w:bookmarkEnd w:id="0"/>
      <w:r w:rsidRPr="0088073B">
        <w:rPr>
          <w:sz w:val="24"/>
          <w:szCs w:val="24"/>
        </w:rPr>
        <w:t xml:space="preserve">oman </w:t>
      </w:r>
      <w:r w:rsidR="002C1CC1" w:rsidRPr="0088073B">
        <w:rPr>
          <w:sz w:val="24"/>
          <w:szCs w:val="24"/>
        </w:rPr>
        <w:t>1</w:t>
      </w:r>
      <w:r w:rsidR="0088073B">
        <w:rPr>
          <w:sz w:val="24"/>
          <w:szCs w:val="24"/>
        </w:rPr>
        <w:t>2</w:t>
      </w:r>
      <w:r w:rsidRPr="0088073B">
        <w:rPr>
          <w:sz w:val="24"/>
          <w:szCs w:val="24"/>
        </w:rPr>
        <w:t>)</w:t>
      </w:r>
      <w:r w:rsidR="008023D5">
        <w:rPr>
          <w:sz w:val="24"/>
          <w:szCs w:val="24"/>
        </w:rPr>
        <w:t>.</w:t>
      </w:r>
    </w:p>
    <w:p w:rsidR="002C1CC1" w:rsidRDefault="002C1CC1" w:rsidP="002C1CC1">
      <w:pPr>
        <w:pStyle w:val="abstract"/>
        <w:tabs>
          <w:tab w:val="right" w:pos="8798"/>
        </w:tabs>
        <w:spacing w:before="0"/>
        <w:rPr>
          <w:b/>
          <w:u w:val="single"/>
        </w:rPr>
      </w:pPr>
      <w:r w:rsidRPr="00581CAF">
        <w:rPr>
          <w:b/>
          <w:u w:val="single"/>
        </w:rPr>
        <w:tab/>
      </w:r>
    </w:p>
    <w:p w:rsidR="002C1CC1" w:rsidRDefault="002C1CC1" w:rsidP="002C1CC1">
      <w:pPr>
        <w:pStyle w:val="abstract"/>
        <w:tabs>
          <w:tab w:val="right" w:pos="8798"/>
        </w:tabs>
        <w:spacing w:before="0"/>
      </w:pPr>
    </w:p>
    <w:p w:rsidR="002C1CC1" w:rsidRPr="002C1CC1" w:rsidRDefault="002C1CC1" w:rsidP="002C1CC1">
      <w:pPr>
        <w:pStyle w:val="abstract"/>
        <w:tabs>
          <w:tab w:val="right" w:pos="8798"/>
        </w:tabs>
        <w:spacing w:before="0"/>
      </w:pPr>
    </w:p>
    <w:p w:rsidR="002C1CC1" w:rsidRDefault="002C1CC1" w:rsidP="004709F1">
      <w:pPr>
        <w:pStyle w:val="Heading1"/>
        <w:sectPr w:rsidR="002C1CC1" w:rsidSect="002861C2">
          <w:headerReference w:type="even" r:id="rId8"/>
          <w:footerReference w:type="even" r:id="rId9"/>
          <w:headerReference w:type="first" r:id="rId10"/>
          <w:footerReference w:type="first" r:id="rId11"/>
          <w:type w:val="continuous"/>
          <w:pgSz w:w="11906" w:h="16838" w:code="9"/>
          <w:pgMar w:top="1440" w:right="1440" w:bottom="1440" w:left="1440" w:header="994" w:footer="562" w:gutter="0"/>
          <w:cols w:space="708"/>
          <w:titlePg/>
          <w:docGrid w:linePitch="360"/>
        </w:sectPr>
      </w:pPr>
    </w:p>
    <w:p w:rsidR="00996943" w:rsidRPr="00AD0091" w:rsidRDefault="00996943" w:rsidP="00C56008">
      <w:pPr>
        <w:pStyle w:val="Heading1"/>
        <w:spacing w:before="120" w:after="120"/>
        <w:ind w:left="289" w:hanging="289"/>
        <w:rPr>
          <w:rFonts w:ascii="Arial" w:hAnsi="Arial" w:cs="Arial"/>
          <w:sz w:val="24"/>
          <w:szCs w:val="24"/>
        </w:rPr>
      </w:pPr>
      <w:r w:rsidRPr="00AD0091">
        <w:rPr>
          <w:rFonts w:ascii="Arial" w:hAnsi="Arial" w:cs="Arial"/>
          <w:sz w:val="24"/>
          <w:szCs w:val="24"/>
        </w:rPr>
        <w:lastRenderedPageBreak/>
        <w:t>Introduction</w:t>
      </w:r>
      <w:r w:rsidR="00AD0091">
        <w:rPr>
          <w:rFonts w:ascii="Arial" w:hAnsi="Arial" w:cs="Arial"/>
          <w:sz w:val="24"/>
          <w:szCs w:val="24"/>
        </w:rPr>
        <w:t xml:space="preserve"> (Arial 12)</w:t>
      </w:r>
    </w:p>
    <w:p w:rsidR="00C73188" w:rsidRPr="00023385" w:rsidRDefault="00C73188" w:rsidP="00996943">
      <w:pPr>
        <w:rPr>
          <w:sz w:val="24"/>
          <w:szCs w:val="24"/>
        </w:rPr>
      </w:pPr>
      <w:r w:rsidRPr="0088073B">
        <w:rPr>
          <w:sz w:val="24"/>
          <w:szCs w:val="24"/>
        </w:rPr>
        <w:t xml:space="preserve">The best way </w:t>
      </w:r>
      <w:r>
        <w:rPr>
          <w:sz w:val="24"/>
          <w:szCs w:val="24"/>
        </w:rPr>
        <w:t xml:space="preserve">to prepare </w:t>
      </w:r>
      <w:r w:rsidR="00457EC9">
        <w:rPr>
          <w:sz w:val="24"/>
          <w:szCs w:val="24"/>
        </w:rPr>
        <w:t xml:space="preserve">a </w:t>
      </w:r>
      <w:r>
        <w:rPr>
          <w:sz w:val="24"/>
          <w:szCs w:val="24"/>
        </w:rPr>
        <w:t xml:space="preserve">manuscript </w:t>
      </w:r>
      <w:r w:rsidRPr="0088073B">
        <w:rPr>
          <w:sz w:val="24"/>
          <w:szCs w:val="24"/>
        </w:rPr>
        <w:t>is to read these instructions and follow the outline of this text. The page setting is A4 Format (210</w:t>
      </w:r>
      <w:r>
        <w:rPr>
          <w:sz w:val="24"/>
          <w:szCs w:val="24"/>
        </w:rPr>
        <w:t xml:space="preserve"> mm x 297 mm); with the margins of 25.4</w:t>
      </w:r>
      <w:r w:rsidRPr="0088073B">
        <w:rPr>
          <w:sz w:val="24"/>
          <w:szCs w:val="24"/>
        </w:rPr>
        <w:t xml:space="preserve"> </w:t>
      </w:r>
      <w:r>
        <w:rPr>
          <w:sz w:val="24"/>
          <w:szCs w:val="24"/>
        </w:rPr>
        <w:t>mm (top, bottom, left, right)</w:t>
      </w:r>
      <w:r w:rsidRPr="0088073B">
        <w:rPr>
          <w:sz w:val="24"/>
          <w:szCs w:val="24"/>
        </w:rPr>
        <w:t xml:space="preserve">. </w:t>
      </w:r>
      <w:r w:rsidR="00457EC9">
        <w:rPr>
          <w:sz w:val="24"/>
          <w:szCs w:val="24"/>
        </w:rPr>
        <w:t>It</w:t>
      </w:r>
      <w:r>
        <w:rPr>
          <w:sz w:val="24"/>
          <w:szCs w:val="24"/>
        </w:rPr>
        <w:t xml:space="preserve"> should be typed using </w:t>
      </w:r>
      <w:r w:rsidRPr="0088073B">
        <w:rPr>
          <w:sz w:val="24"/>
          <w:szCs w:val="24"/>
        </w:rPr>
        <w:t xml:space="preserve">Times New Roman </w:t>
      </w:r>
      <w:r>
        <w:rPr>
          <w:sz w:val="24"/>
          <w:szCs w:val="24"/>
        </w:rPr>
        <w:t xml:space="preserve">12, except for the </w:t>
      </w:r>
      <w:r w:rsidR="00134D63">
        <w:rPr>
          <w:sz w:val="24"/>
          <w:szCs w:val="24"/>
        </w:rPr>
        <w:t xml:space="preserve">first level </w:t>
      </w:r>
      <w:r>
        <w:rPr>
          <w:sz w:val="24"/>
          <w:szCs w:val="24"/>
        </w:rPr>
        <w:t>section headings</w:t>
      </w:r>
      <w:r w:rsidRPr="0088073B">
        <w:rPr>
          <w:sz w:val="24"/>
          <w:szCs w:val="24"/>
        </w:rPr>
        <w:t xml:space="preserve"> </w:t>
      </w:r>
      <w:r>
        <w:rPr>
          <w:sz w:val="24"/>
          <w:szCs w:val="24"/>
        </w:rPr>
        <w:t>(Arial 12) and texts in tables (</w:t>
      </w:r>
      <w:r w:rsidRPr="0088073B">
        <w:rPr>
          <w:sz w:val="24"/>
          <w:szCs w:val="24"/>
        </w:rPr>
        <w:t xml:space="preserve">Times New Roman </w:t>
      </w:r>
      <w:r>
        <w:rPr>
          <w:sz w:val="24"/>
          <w:szCs w:val="24"/>
        </w:rPr>
        <w:t xml:space="preserve">10) and figures (Arial or Times New Roman, proportional to the whole figure). </w:t>
      </w:r>
      <w:r w:rsidR="00457EC9">
        <w:rPr>
          <w:sz w:val="24"/>
          <w:szCs w:val="24"/>
        </w:rPr>
        <w:t xml:space="preserve">The length of a manuscript </w:t>
      </w:r>
      <w:r w:rsidR="0050582B">
        <w:rPr>
          <w:sz w:val="24"/>
          <w:szCs w:val="24"/>
        </w:rPr>
        <w:t xml:space="preserve">should be limited to </w:t>
      </w:r>
      <w:r w:rsidR="0050582B" w:rsidRPr="00127074">
        <w:rPr>
          <w:i/>
          <w:sz w:val="24"/>
          <w:szCs w:val="24"/>
        </w:rPr>
        <w:t>11 pages total</w:t>
      </w:r>
      <w:r w:rsidR="0050582B">
        <w:rPr>
          <w:sz w:val="24"/>
          <w:szCs w:val="24"/>
        </w:rPr>
        <w:t xml:space="preserve"> (including references and appendices). </w:t>
      </w:r>
      <w:r w:rsidR="00023385">
        <w:rPr>
          <w:sz w:val="24"/>
          <w:szCs w:val="24"/>
        </w:rPr>
        <w:t>All pages should be numbered consecutively</w:t>
      </w:r>
      <w:r w:rsidR="00023385" w:rsidRPr="0069318C">
        <w:rPr>
          <w:sz w:val="24"/>
          <w:szCs w:val="24"/>
          <w:lang w:val="id-ID"/>
        </w:rPr>
        <w:t>.</w:t>
      </w:r>
      <w:r w:rsidR="00023385">
        <w:rPr>
          <w:sz w:val="24"/>
          <w:szCs w:val="24"/>
        </w:rPr>
        <w:t xml:space="preserve"> </w:t>
      </w:r>
    </w:p>
    <w:p w:rsidR="00996943" w:rsidRDefault="00457EC9" w:rsidP="00996943">
      <w:pPr>
        <w:rPr>
          <w:sz w:val="24"/>
          <w:szCs w:val="24"/>
        </w:rPr>
      </w:pPr>
      <w:r>
        <w:rPr>
          <w:sz w:val="24"/>
          <w:szCs w:val="24"/>
        </w:rPr>
        <w:t>M</w:t>
      </w:r>
      <w:r w:rsidR="00996943" w:rsidRPr="0069318C">
        <w:rPr>
          <w:sz w:val="24"/>
          <w:szCs w:val="24"/>
        </w:rPr>
        <w:t xml:space="preserve">anuscripts </w:t>
      </w:r>
      <w:r w:rsidR="00CA376E">
        <w:rPr>
          <w:sz w:val="24"/>
          <w:szCs w:val="24"/>
        </w:rPr>
        <w:t>should</w:t>
      </w:r>
      <w:r w:rsidR="00996943" w:rsidRPr="0069318C">
        <w:rPr>
          <w:sz w:val="24"/>
          <w:szCs w:val="24"/>
        </w:rPr>
        <w:t xml:space="preserve"> be </w:t>
      </w:r>
      <w:r w:rsidR="00C73188">
        <w:rPr>
          <w:sz w:val="24"/>
          <w:szCs w:val="24"/>
        </w:rPr>
        <w:t xml:space="preserve">written </w:t>
      </w:r>
      <w:r w:rsidR="00996943" w:rsidRPr="0069318C">
        <w:rPr>
          <w:sz w:val="24"/>
          <w:szCs w:val="24"/>
        </w:rPr>
        <w:t xml:space="preserve">in English, </w:t>
      </w:r>
      <w:r w:rsidR="00C73188">
        <w:rPr>
          <w:sz w:val="24"/>
          <w:szCs w:val="24"/>
        </w:rPr>
        <w:t>including</w:t>
      </w:r>
      <w:r w:rsidR="00996943" w:rsidRPr="0069318C">
        <w:rPr>
          <w:sz w:val="24"/>
          <w:szCs w:val="24"/>
        </w:rPr>
        <w:t xml:space="preserve"> the table and figure text</w:t>
      </w:r>
      <w:r w:rsidR="00C73188">
        <w:rPr>
          <w:sz w:val="24"/>
          <w:szCs w:val="24"/>
        </w:rPr>
        <w:t>s</w:t>
      </w:r>
      <w:r w:rsidR="00996943" w:rsidRPr="0069318C">
        <w:rPr>
          <w:sz w:val="24"/>
          <w:szCs w:val="24"/>
        </w:rPr>
        <w:t>. Use italic for emphasizing a word or phrase. Do not use boldface typing or capital letters except for section headings</w:t>
      </w:r>
      <w:r w:rsidR="00996943" w:rsidRPr="0069318C">
        <w:rPr>
          <w:sz w:val="24"/>
          <w:szCs w:val="24"/>
          <w:lang w:val="id-ID"/>
        </w:rPr>
        <w:t>.</w:t>
      </w:r>
      <w:r w:rsidR="00996943" w:rsidRPr="0069318C">
        <w:rPr>
          <w:sz w:val="24"/>
          <w:szCs w:val="24"/>
        </w:rPr>
        <w:t xml:space="preserve"> </w:t>
      </w:r>
    </w:p>
    <w:p w:rsidR="003A7CD2" w:rsidRPr="0069318C" w:rsidRDefault="003A7CD2" w:rsidP="00996943">
      <w:pPr>
        <w:rPr>
          <w:sz w:val="24"/>
          <w:szCs w:val="24"/>
        </w:rPr>
      </w:pPr>
      <w:r>
        <w:rPr>
          <w:sz w:val="24"/>
          <w:szCs w:val="24"/>
        </w:rPr>
        <w:t>Manuscripts should be organized in the following order: Title; authors and affiliations; abstract and key words; introduction</w:t>
      </w:r>
      <w:r w:rsidR="00AB71EC">
        <w:rPr>
          <w:sz w:val="24"/>
          <w:szCs w:val="24"/>
        </w:rPr>
        <w:t>;</w:t>
      </w:r>
      <w:r>
        <w:rPr>
          <w:sz w:val="24"/>
          <w:szCs w:val="24"/>
        </w:rPr>
        <w:t xml:space="preserve"> main body of research or study</w:t>
      </w:r>
      <w:r w:rsidR="00AB71EC">
        <w:rPr>
          <w:sz w:val="24"/>
          <w:szCs w:val="24"/>
        </w:rPr>
        <w:t>;</w:t>
      </w:r>
      <w:r>
        <w:rPr>
          <w:sz w:val="24"/>
          <w:szCs w:val="24"/>
        </w:rPr>
        <w:t xml:space="preserve"> conclusions</w:t>
      </w:r>
      <w:r w:rsidR="00AB71EC">
        <w:rPr>
          <w:sz w:val="24"/>
          <w:szCs w:val="24"/>
        </w:rPr>
        <w:t>;</w:t>
      </w:r>
      <w:r>
        <w:rPr>
          <w:sz w:val="24"/>
          <w:szCs w:val="24"/>
        </w:rPr>
        <w:t xml:space="preserve"> acknowledgment (where applicable)</w:t>
      </w:r>
      <w:r w:rsidR="00AB71EC">
        <w:rPr>
          <w:sz w:val="24"/>
          <w:szCs w:val="24"/>
        </w:rPr>
        <w:t>;</w:t>
      </w:r>
      <w:r>
        <w:rPr>
          <w:sz w:val="24"/>
          <w:szCs w:val="24"/>
        </w:rPr>
        <w:t xml:space="preserve"> </w:t>
      </w:r>
      <w:r w:rsidR="00AB71EC">
        <w:rPr>
          <w:sz w:val="24"/>
          <w:szCs w:val="24"/>
        </w:rPr>
        <w:t>references; appendices (where applicable).</w:t>
      </w:r>
      <w:r>
        <w:rPr>
          <w:sz w:val="24"/>
          <w:szCs w:val="24"/>
        </w:rPr>
        <w:t xml:space="preserve"> </w:t>
      </w:r>
    </w:p>
    <w:p w:rsidR="00996943" w:rsidRPr="0069318C" w:rsidRDefault="00996943" w:rsidP="00A70B84">
      <w:pPr>
        <w:pStyle w:val="Heading2"/>
        <w:spacing w:after="60"/>
        <w:ind w:left="431" w:hanging="431"/>
        <w:rPr>
          <w:sz w:val="24"/>
          <w:szCs w:val="24"/>
          <w:lang w:val="id-ID"/>
        </w:rPr>
      </w:pPr>
      <w:r w:rsidRPr="0069318C">
        <w:rPr>
          <w:sz w:val="24"/>
          <w:szCs w:val="24"/>
        </w:rPr>
        <w:t>Organization</w:t>
      </w:r>
    </w:p>
    <w:p w:rsidR="00996943" w:rsidRPr="0069318C" w:rsidRDefault="00996943" w:rsidP="004709F1">
      <w:pPr>
        <w:ind w:firstLine="284"/>
        <w:rPr>
          <w:sz w:val="24"/>
          <w:szCs w:val="24"/>
        </w:rPr>
      </w:pPr>
      <w:r w:rsidRPr="0069318C">
        <w:rPr>
          <w:sz w:val="24"/>
          <w:szCs w:val="24"/>
        </w:rPr>
        <w:t>Section Headings. The section headings are in boldface capital and lowercase letters. Second level headings are typed as part of the succeeding paragraph (like the subsection heading of this paragraph).</w:t>
      </w:r>
    </w:p>
    <w:p w:rsidR="00996943" w:rsidRPr="0069318C" w:rsidRDefault="00F433AC" w:rsidP="00A70B84">
      <w:pPr>
        <w:pStyle w:val="Heading2"/>
        <w:spacing w:after="60"/>
        <w:ind w:left="431" w:hanging="431"/>
        <w:rPr>
          <w:sz w:val="24"/>
          <w:szCs w:val="24"/>
        </w:rPr>
      </w:pPr>
      <w:r>
        <w:rPr>
          <w:sz w:val="24"/>
          <w:szCs w:val="24"/>
        </w:rPr>
        <w:t>Reference</w:t>
      </w:r>
      <w:r w:rsidR="00F27EC6">
        <w:rPr>
          <w:sz w:val="24"/>
          <w:szCs w:val="24"/>
        </w:rPr>
        <w:t>s</w:t>
      </w:r>
    </w:p>
    <w:p w:rsidR="00E93422" w:rsidRPr="0069318C" w:rsidRDefault="00E93422" w:rsidP="00E93422">
      <w:pPr>
        <w:rPr>
          <w:sz w:val="24"/>
          <w:szCs w:val="24"/>
        </w:rPr>
      </w:pPr>
      <w:r w:rsidRPr="0069318C">
        <w:rPr>
          <w:sz w:val="24"/>
          <w:szCs w:val="24"/>
        </w:rPr>
        <w:t xml:space="preserve">References to published literatures should be quoted in the text in numerical order. Numerical citation should be typed on the line, not as a superscript, and enclosed in square bracket, [1]. The </w:t>
      </w:r>
      <w:r w:rsidRPr="0069318C">
        <w:rPr>
          <w:sz w:val="24"/>
          <w:szCs w:val="24"/>
        </w:rPr>
        <w:lastRenderedPageBreak/>
        <w:t>references should be listed together at the end of the text in consecutive order, with enough information to allow readers to find the cited item</w:t>
      </w:r>
      <w:r w:rsidR="00E75B47">
        <w:rPr>
          <w:sz w:val="24"/>
          <w:szCs w:val="24"/>
        </w:rPr>
        <w:t xml:space="preserve"> (see the text after References heading)</w:t>
      </w:r>
      <w:r w:rsidRPr="0069318C">
        <w:rPr>
          <w:sz w:val="24"/>
          <w:szCs w:val="24"/>
        </w:rPr>
        <w:t xml:space="preserve">. </w:t>
      </w:r>
    </w:p>
    <w:p w:rsidR="008F40FF" w:rsidRPr="00AD0091" w:rsidRDefault="008F40FF" w:rsidP="00C56008">
      <w:pPr>
        <w:pStyle w:val="Heading1"/>
        <w:spacing w:after="120"/>
        <w:ind w:left="289" w:hanging="289"/>
        <w:rPr>
          <w:rFonts w:ascii="Arial" w:hAnsi="Arial" w:cs="Arial"/>
          <w:sz w:val="24"/>
          <w:szCs w:val="24"/>
          <w:lang w:val="id-ID"/>
        </w:rPr>
      </w:pPr>
      <w:r w:rsidRPr="00AD0091">
        <w:rPr>
          <w:rFonts w:ascii="Arial" w:hAnsi="Arial" w:cs="Arial"/>
          <w:sz w:val="24"/>
          <w:szCs w:val="24"/>
          <w:lang w:val="id-ID"/>
        </w:rPr>
        <w:t>Research Met</w:t>
      </w:r>
      <w:r w:rsidR="00CA427E" w:rsidRPr="00AD0091">
        <w:rPr>
          <w:rFonts w:ascii="Arial" w:hAnsi="Arial" w:cs="Arial"/>
          <w:sz w:val="24"/>
          <w:szCs w:val="24"/>
          <w:lang w:val="id-ID"/>
        </w:rPr>
        <w:t>h</w:t>
      </w:r>
      <w:r w:rsidRPr="00AD0091">
        <w:rPr>
          <w:rFonts w:ascii="Arial" w:hAnsi="Arial" w:cs="Arial"/>
          <w:sz w:val="24"/>
          <w:szCs w:val="24"/>
          <w:lang w:val="id-ID"/>
        </w:rPr>
        <w:t>od</w:t>
      </w:r>
      <w:r w:rsidR="00CA427E" w:rsidRPr="00AD0091">
        <w:rPr>
          <w:rFonts w:ascii="Arial" w:hAnsi="Arial" w:cs="Arial"/>
          <w:sz w:val="24"/>
          <w:szCs w:val="24"/>
          <w:lang w:val="id-ID"/>
        </w:rPr>
        <w:t>s</w:t>
      </w:r>
      <w:r w:rsidR="00AD0091">
        <w:rPr>
          <w:rFonts w:ascii="Arial" w:hAnsi="Arial" w:cs="Arial"/>
          <w:sz w:val="24"/>
          <w:szCs w:val="24"/>
        </w:rPr>
        <w:t xml:space="preserve"> (Arial 12)</w:t>
      </w:r>
    </w:p>
    <w:p w:rsidR="00996943" w:rsidRDefault="00996943" w:rsidP="00996943">
      <w:pPr>
        <w:rPr>
          <w:sz w:val="24"/>
          <w:szCs w:val="24"/>
        </w:rPr>
      </w:pPr>
      <w:r w:rsidRPr="0069318C">
        <w:rPr>
          <w:sz w:val="24"/>
          <w:szCs w:val="24"/>
        </w:rPr>
        <w:t xml:space="preserve">Special </w:t>
      </w:r>
      <w:r w:rsidR="00EE7C1C" w:rsidRPr="0069318C">
        <w:rPr>
          <w:sz w:val="24"/>
          <w:szCs w:val="24"/>
        </w:rPr>
        <w:t>s</w:t>
      </w:r>
      <w:r w:rsidRPr="0069318C">
        <w:rPr>
          <w:sz w:val="24"/>
          <w:szCs w:val="24"/>
        </w:rPr>
        <w:t>igns</w:t>
      </w:r>
      <w:r w:rsidR="00B54293" w:rsidRPr="0069318C">
        <w:rPr>
          <w:sz w:val="24"/>
          <w:szCs w:val="24"/>
        </w:rPr>
        <w:t>,</w:t>
      </w:r>
      <w:r w:rsidR="00EE7C1C" w:rsidRPr="0069318C">
        <w:rPr>
          <w:sz w:val="24"/>
          <w:szCs w:val="24"/>
        </w:rPr>
        <w:t xml:space="preserve"> for example</w:t>
      </w:r>
      <w:r w:rsidRPr="0069318C">
        <w:rPr>
          <w:sz w:val="24"/>
          <w:szCs w:val="24"/>
        </w:rPr>
        <w:t xml:space="preserve">, </w:t>
      </w:r>
      <w:r w:rsidRPr="00BF10D8">
        <w:rPr>
          <w:i/>
          <w:sz w:val="24"/>
          <w:szCs w:val="24"/>
        </w:rPr>
        <w:t>α</w:t>
      </w:r>
      <w:r w:rsidRPr="0069318C">
        <w:rPr>
          <w:sz w:val="24"/>
          <w:szCs w:val="24"/>
          <w:lang w:val="en-GB"/>
        </w:rPr>
        <w:t xml:space="preserve"> </w:t>
      </w:r>
      <w:r w:rsidRPr="00BF10D8">
        <w:rPr>
          <w:i/>
          <w:sz w:val="24"/>
          <w:szCs w:val="24"/>
        </w:rPr>
        <w:t>γ</w:t>
      </w:r>
      <w:r w:rsidRPr="0069318C">
        <w:rPr>
          <w:sz w:val="24"/>
          <w:szCs w:val="24"/>
          <w:lang w:val="en-GB"/>
        </w:rPr>
        <w:t xml:space="preserve"> </w:t>
      </w:r>
      <w:r w:rsidRPr="00BF10D8">
        <w:rPr>
          <w:i/>
          <w:sz w:val="24"/>
          <w:szCs w:val="24"/>
        </w:rPr>
        <w:t>μ</w:t>
      </w:r>
      <w:r w:rsidRPr="0069318C">
        <w:rPr>
          <w:sz w:val="24"/>
          <w:szCs w:val="24"/>
          <w:lang w:val="en-GB"/>
        </w:rPr>
        <w:t xml:space="preserve"> </w:t>
      </w:r>
      <w:r w:rsidRPr="0069318C">
        <w:rPr>
          <w:sz w:val="24"/>
          <w:szCs w:val="24"/>
        </w:rPr>
        <w:t>Ω</w:t>
      </w:r>
      <w:r w:rsidRPr="0069318C">
        <w:rPr>
          <w:sz w:val="24"/>
          <w:szCs w:val="24"/>
          <w:lang w:val="en-GB"/>
        </w:rPr>
        <w:t xml:space="preserve"> () </w:t>
      </w:r>
      <w:r w:rsidRPr="0069318C">
        <w:rPr>
          <w:rFonts w:hint="eastAsia"/>
          <w:sz w:val="24"/>
          <w:szCs w:val="24"/>
          <w:lang w:val="en-GB"/>
        </w:rPr>
        <w:t>≥</w:t>
      </w:r>
      <w:r w:rsidRPr="0069318C">
        <w:rPr>
          <w:sz w:val="24"/>
          <w:szCs w:val="24"/>
          <w:lang w:val="en-GB"/>
        </w:rPr>
        <w:t xml:space="preserve">  ± </w:t>
      </w:r>
      <w:r w:rsidRPr="0069318C">
        <w:rPr>
          <w:rFonts w:hint="eastAsia"/>
          <w:sz w:val="24"/>
          <w:szCs w:val="24"/>
          <w:lang w:val="en-GB"/>
        </w:rPr>
        <w:t>●</w:t>
      </w:r>
      <w:r w:rsidRPr="0069318C">
        <w:rPr>
          <w:sz w:val="24"/>
          <w:szCs w:val="24"/>
          <w:lang w:val="en-GB"/>
        </w:rPr>
        <w:t xml:space="preserve">  </w:t>
      </w:r>
      <w:r w:rsidRPr="0069318C">
        <w:rPr>
          <w:sz w:val="24"/>
          <w:szCs w:val="24"/>
        </w:rPr>
        <w:t>Γ</w:t>
      </w:r>
      <w:r w:rsidRPr="0069318C">
        <w:rPr>
          <w:sz w:val="24"/>
          <w:szCs w:val="24"/>
          <w:lang w:val="en-GB"/>
        </w:rPr>
        <w:t xml:space="preserve"> {11</w:t>
      </w:r>
      <w:r w:rsidR="00B54293" w:rsidRPr="0069318C">
        <w:rPr>
          <w:position w:val="-4"/>
          <w:sz w:val="24"/>
          <w:szCs w:val="24"/>
          <w:lang w:val="en-GB"/>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2" o:title=""/>
          </v:shape>
          <o:OLEObject Type="Embed" ProgID="Equation.3" ShapeID="_x0000_i1025" DrawAspect="Content" ObjectID="_1577885235" r:id="rId13"/>
        </w:object>
      </w:r>
      <w:r w:rsidRPr="0069318C">
        <w:rPr>
          <w:sz w:val="24"/>
          <w:szCs w:val="24"/>
          <w:lang w:val="en-GB"/>
        </w:rPr>
        <w:t>0}</w:t>
      </w:r>
      <w:r w:rsidR="00E04056" w:rsidRPr="0069318C">
        <w:rPr>
          <w:sz w:val="24"/>
          <w:szCs w:val="24"/>
          <w:lang w:val="en-GB"/>
        </w:rPr>
        <w:t xml:space="preserve"> </w:t>
      </w:r>
      <w:r w:rsidRPr="0069318C">
        <w:rPr>
          <w:sz w:val="24"/>
          <w:szCs w:val="24"/>
        </w:rPr>
        <w:t>should always be written in with the fonts Times New Roman or Arial, also in the figures and tables.</w:t>
      </w:r>
      <w:r w:rsidR="00BF10D8">
        <w:rPr>
          <w:sz w:val="24"/>
          <w:szCs w:val="24"/>
        </w:rPr>
        <w:t xml:space="preserve"> </w:t>
      </w:r>
    </w:p>
    <w:p w:rsidR="00F844F4" w:rsidRPr="0069318C" w:rsidRDefault="00F844F4" w:rsidP="00A70B84">
      <w:pPr>
        <w:pStyle w:val="Heading2"/>
        <w:spacing w:after="60"/>
        <w:ind w:left="431" w:hanging="431"/>
        <w:rPr>
          <w:sz w:val="24"/>
          <w:szCs w:val="24"/>
        </w:rPr>
      </w:pPr>
      <w:r>
        <w:rPr>
          <w:sz w:val="24"/>
          <w:szCs w:val="24"/>
        </w:rPr>
        <w:t xml:space="preserve">Mathematical </w:t>
      </w:r>
      <w:r w:rsidR="005D0C38">
        <w:rPr>
          <w:sz w:val="24"/>
          <w:szCs w:val="24"/>
        </w:rPr>
        <w:t>E</w:t>
      </w:r>
      <w:r>
        <w:rPr>
          <w:sz w:val="24"/>
          <w:szCs w:val="24"/>
        </w:rPr>
        <w:t>xpressions</w:t>
      </w:r>
    </w:p>
    <w:p w:rsidR="00434CF3" w:rsidRDefault="00A70B84" w:rsidP="00A70B84">
      <w:pPr>
        <w:rPr>
          <w:sz w:val="24"/>
          <w:szCs w:val="24"/>
        </w:rPr>
      </w:pPr>
      <w:r w:rsidRPr="0069318C">
        <w:rPr>
          <w:sz w:val="24"/>
          <w:szCs w:val="24"/>
        </w:rPr>
        <w:t xml:space="preserve">Equations (refer with: Eq. 1, Eq. 2, ...) should be centered between the text margins. There should be one line of space above the equation and one line of space below it before the text continues. The equations have to be numbered sequentially, and the number put in parentheses at the right-hand edge of the text. </w:t>
      </w:r>
      <w:r w:rsidR="00434CF3" w:rsidRPr="00434CF3">
        <w:rPr>
          <w:sz w:val="24"/>
          <w:szCs w:val="24"/>
        </w:rPr>
        <w:t xml:space="preserve">For convenience you may use an equation editor to write an equation. </w:t>
      </w:r>
    </w:p>
    <w:p w:rsidR="00A70B84" w:rsidRPr="0069318C" w:rsidRDefault="00A70B84" w:rsidP="00A70B84">
      <w:pPr>
        <w:rPr>
          <w:sz w:val="24"/>
          <w:szCs w:val="24"/>
        </w:rPr>
      </w:pPr>
      <w:r w:rsidRPr="0069318C">
        <w:rPr>
          <w:sz w:val="24"/>
          <w:szCs w:val="24"/>
        </w:rPr>
        <w:t>Equations should be punctuated as if they were an ordinary part of the text. Punctuation appears after the equation but before the equation number, e.g.</w:t>
      </w:r>
    </w:p>
    <w:p w:rsidR="00A70B84" w:rsidRDefault="00A70B84" w:rsidP="00A70B84">
      <w:pPr>
        <w:pStyle w:val="equation"/>
        <w:tabs>
          <w:tab w:val="clear" w:pos="2246"/>
          <w:tab w:val="clear" w:pos="4478"/>
          <w:tab w:val="center" w:pos="4395"/>
          <w:tab w:val="right" w:pos="9356"/>
        </w:tabs>
        <w:rPr>
          <w:sz w:val="24"/>
          <w:szCs w:val="24"/>
        </w:rPr>
      </w:pPr>
      <w:r w:rsidRPr="0069318C">
        <w:rPr>
          <w:sz w:val="24"/>
          <w:szCs w:val="24"/>
        </w:rPr>
        <w:tab/>
      </w:r>
      <m:oMath>
        <m:sSup>
          <m:sSupPr>
            <m:ctrlPr>
              <w:rPr>
                <w:rFonts w:ascii="Cambria Math" w:hAnsi="Cambria Math"/>
                <w:i/>
                <w:sz w:val="24"/>
                <w:szCs w:val="24"/>
                <w:vertAlign w:val="superscript"/>
              </w:rPr>
            </m:ctrlPr>
          </m:sSupPr>
          <m:e>
            <m:r>
              <w:rPr>
                <w:rFonts w:ascii="Cambria Math" w:hAnsi="Cambria Math"/>
                <w:sz w:val="24"/>
                <w:szCs w:val="24"/>
                <w:vertAlign w:val="superscript"/>
              </w:rPr>
              <m:t>c</m:t>
            </m:r>
          </m:e>
          <m:sup>
            <m:r>
              <w:rPr>
                <w:rFonts w:ascii="Cambria Math" w:hAnsi="Cambria Math"/>
                <w:sz w:val="24"/>
                <w:szCs w:val="24"/>
                <w:vertAlign w:val="superscript"/>
              </w:rPr>
              <m:t>2</m:t>
            </m:r>
          </m:sup>
        </m:sSup>
        <m:r>
          <w:rPr>
            <w:rFonts w:ascii="Cambria Math" w:hAnsi="Cambria Math"/>
            <w:sz w:val="24"/>
            <w:szCs w:val="24"/>
          </w:rPr>
          <m:t>=</m:t>
        </m:r>
        <m:sSup>
          <m:sSupPr>
            <m:ctrlPr>
              <w:rPr>
                <w:rFonts w:ascii="Cambria Math" w:hAnsi="Cambria Math"/>
                <w:i/>
                <w:sz w:val="24"/>
                <w:szCs w:val="24"/>
                <w:vertAlign w:val="superscript"/>
              </w:rPr>
            </m:ctrlPr>
          </m:sSupPr>
          <m:e>
            <m:r>
              <w:rPr>
                <w:rFonts w:ascii="Cambria Math" w:hAnsi="Cambria Math"/>
                <w:sz w:val="24"/>
                <w:szCs w:val="24"/>
                <w:vertAlign w:val="superscript"/>
              </w:rPr>
              <m:t>a</m:t>
            </m:r>
          </m:e>
          <m:sup>
            <m:r>
              <w:rPr>
                <w:rFonts w:ascii="Cambria Math" w:hAnsi="Cambria Math"/>
                <w:sz w:val="24"/>
                <w:szCs w:val="24"/>
                <w:vertAlign w:val="superscript"/>
              </w:rPr>
              <m:t>2</m:t>
            </m:r>
          </m:sup>
        </m:sSup>
        <m:r>
          <w:rPr>
            <w:rFonts w:ascii="Cambria Math" w:hAnsi="Cambria Math"/>
            <w:sz w:val="24"/>
            <w:szCs w:val="24"/>
          </w:rPr>
          <m:t>+</m:t>
        </m:r>
        <m:sSup>
          <m:sSupPr>
            <m:ctrlPr>
              <w:rPr>
                <w:rFonts w:ascii="Cambria Math" w:hAnsi="Cambria Math"/>
                <w:i/>
                <w:sz w:val="24"/>
                <w:szCs w:val="24"/>
                <w:vertAlign w:val="superscript"/>
              </w:rPr>
            </m:ctrlPr>
          </m:sSupPr>
          <m:e>
            <m:r>
              <w:rPr>
                <w:rFonts w:ascii="Cambria Math" w:hAnsi="Cambria Math"/>
                <w:sz w:val="24"/>
                <w:szCs w:val="24"/>
                <w:vertAlign w:val="superscript"/>
              </w:rPr>
              <m:t>b</m:t>
            </m:r>
          </m:e>
          <m:sup>
            <m:r>
              <w:rPr>
                <w:rFonts w:ascii="Cambria Math" w:hAnsi="Cambria Math"/>
                <w:sz w:val="24"/>
                <w:szCs w:val="24"/>
                <w:vertAlign w:val="superscript"/>
              </w:rPr>
              <m:t>2</m:t>
            </m:r>
          </m:sup>
        </m:sSup>
      </m:oMath>
      <w:r w:rsidRPr="0069318C">
        <w:rPr>
          <w:sz w:val="24"/>
          <w:szCs w:val="24"/>
        </w:rPr>
        <w:t xml:space="preserve"> </w:t>
      </w:r>
      <w:r w:rsidRPr="0069318C">
        <w:rPr>
          <w:sz w:val="24"/>
          <w:szCs w:val="24"/>
        </w:rPr>
        <w:tab/>
        <w:t>(</w:t>
      </w:r>
      <w:r w:rsidRPr="0069318C">
        <w:rPr>
          <w:sz w:val="24"/>
          <w:szCs w:val="24"/>
        </w:rPr>
        <w:fldChar w:fldCharType="begin"/>
      </w:r>
      <w:r w:rsidRPr="0069318C">
        <w:rPr>
          <w:sz w:val="24"/>
          <w:szCs w:val="24"/>
        </w:rPr>
        <w:instrText xml:space="preserve"> SEQ "equation" \n \* MERGEFORMAT </w:instrText>
      </w:r>
      <w:r w:rsidRPr="0069318C">
        <w:rPr>
          <w:sz w:val="24"/>
          <w:szCs w:val="24"/>
        </w:rPr>
        <w:fldChar w:fldCharType="separate"/>
      </w:r>
      <w:r w:rsidR="00B56577">
        <w:rPr>
          <w:noProof/>
          <w:sz w:val="24"/>
          <w:szCs w:val="24"/>
        </w:rPr>
        <w:t>1</w:t>
      </w:r>
      <w:r w:rsidRPr="0069318C">
        <w:rPr>
          <w:noProof/>
          <w:sz w:val="24"/>
          <w:szCs w:val="24"/>
        </w:rPr>
        <w:fldChar w:fldCharType="end"/>
      </w:r>
      <w:r w:rsidRPr="0069318C">
        <w:rPr>
          <w:sz w:val="24"/>
          <w:szCs w:val="24"/>
        </w:rPr>
        <w:t>)</w:t>
      </w:r>
    </w:p>
    <w:p w:rsidR="004A2506" w:rsidRPr="0069318C" w:rsidRDefault="004A2506" w:rsidP="00A70B84">
      <w:pPr>
        <w:pStyle w:val="Heading2"/>
        <w:spacing w:after="60"/>
        <w:ind w:left="431" w:hanging="431"/>
        <w:rPr>
          <w:sz w:val="24"/>
          <w:szCs w:val="24"/>
        </w:rPr>
      </w:pPr>
      <w:r>
        <w:rPr>
          <w:sz w:val="24"/>
          <w:szCs w:val="24"/>
        </w:rPr>
        <w:t>Figures</w:t>
      </w:r>
      <w:r w:rsidRPr="0069318C">
        <w:rPr>
          <w:sz w:val="24"/>
          <w:szCs w:val="24"/>
          <w:lang w:val="id-ID"/>
        </w:rPr>
        <w:t xml:space="preserve"> and </w:t>
      </w:r>
      <w:r w:rsidR="005D0C38">
        <w:rPr>
          <w:sz w:val="24"/>
          <w:szCs w:val="24"/>
        </w:rPr>
        <w:t>T</w:t>
      </w:r>
      <w:r w:rsidRPr="0069318C">
        <w:rPr>
          <w:sz w:val="24"/>
          <w:szCs w:val="24"/>
        </w:rPr>
        <w:t>ables</w:t>
      </w:r>
    </w:p>
    <w:p w:rsidR="004A2506" w:rsidRDefault="004A2506" w:rsidP="004A2506">
      <w:pPr>
        <w:rPr>
          <w:sz w:val="24"/>
          <w:szCs w:val="24"/>
        </w:rPr>
      </w:pPr>
      <w:r w:rsidRPr="0069318C">
        <w:rPr>
          <w:sz w:val="24"/>
          <w:szCs w:val="24"/>
        </w:rPr>
        <w:t xml:space="preserve">Figures (refer with: Figure 1, Figure 2, ...) should be presented as part of the text, leaving enough space so that the caption will not be confused with the text. The caption should be self-contained and placed </w:t>
      </w:r>
      <w:r w:rsidRPr="0069318C">
        <w:rPr>
          <w:i/>
          <w:iCs/>
          <w:sz w:val="24"/>
          <w:szCs w:val="24"/>
        </w:rPr>
        <w:t xml:space="preserve">below </w:t>
      </w:r>
      <w:r w:rsidRPr="0069318C">
        <w:rPr>
          <w:sz w:val="24"/>
          <w:szCs w:val="24"/>
        </w:rPr>
        <w:t>the figure</w:t>
      </w:r>
      <w:r w:rsidR="004137A9">
        <w:rPr>
          <w:sz w:val="24"/>
          <w:szCs w:val="24"/>
        </w:rPr>
        <w:t xml:space="preserve"> (for example see Fig. 1)</w:t>
      </w:r>
      <w:r w:rsidRPr="0069318C">
        <w:rPr>
          <w:sz w:val="24"/>
          <w:szCs w:val="24"/>
        </w:rPr>
        <w:t>. Generally, only original drawings or photographic reproductions are acceptable. Only very good photocopies are acceptable. If possible, please include your figures as graphic images in the electronic version. For best quality the pictures should have a resolution of 300 dpi (dots per inch).</w:t>
      </w:r>
      <w:r w:rsidR="002E6D97">
        <w:rPr>
          <w:sz w:val="24"/>
          <w:szCs w:val="24"/>
        </w:rPr>
        <w:t xml:space="preserve"> </w:t>
      </w:r>
      <w:r w:rsidR="002E6D97" w:rsidRPr="0069318C">
        <w:rPr>
          <w:sz w:val="24"/>
          <w:szCs w:val="24"/>
        </w:rPr>
        <w:t>Color figures are welcome.</w:t>
      </w:r>
      <w:r w:rsidR="002E6D97">
        <w:rPr>
          <w:sz w:val="24"/>
          <w:szCs w:val="24"/>
        </w:rPr>
        <w:t xml:space="preserve"> </w:t>
      </w:r>
    </w:p>
    <w:p w:rsidR="004137A9" w:rsidRDefault="004137A9" w:rsidP="004A2506">
      <w:pPr>
        <w:rPr>
          <w:sz w:val="24"/>
          <w:szCs w:val="24"/>
        </w:rPr>
      </w:pPr>
    </w:p>
    <w:p w:rsidR="004137A9" w:rsidRDefault="004137A9" w:rsidP="004137A9">
      <w:pPr>
        <w:pStyle w:val="p1a"/>
        <w:jc w:val="center"/>
      </w:pPr>
      <w:r>
        <w:rPr>
          <w:noProof/>
          <w:lang w:eastAsia="en-US"/>
        </w:rPr>
        <w:drawing>
          <wp:inline distT="0" distB="0" distL="0" distR="0" wp14:anchorId="407B14D8" wp14:editId="4CDB6E85">
            <wp:extent cx="3695700" cy="20802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37A9" w:rsidRPr="00F348C9" w:rsidRDefault="004137A9" w:rsidP="004137A9">
      <w:pPr>
        <w:pStyle w:val="Caption"/>
        <w:spacing w:after="240"/>
        <w:rPr>
          <w:szCs w:val="20"/>
        </w:rPr>
      </w:pPr>
      <w:r w:rsidRPr="00F348C9">
        <w:rPr>
          <w:szCs w:val="20"/>
        </w:rPr>
        <w:t xml:space="preserve">Figure </w:t>
      </w:r>
      <w:r w:rsidRPr="00F348C9">
        <w:rPr>
          <w:szCs w:val="20"/>
        </w:rPr>
        <w:fldChar w:fldCharType="begin"/>
      </w:r>
      <w:r w:rsidRPr="00F348C9">
        <w:rPr>
          <w:szCs w:val="20"/>
        </w:rPr>
        <w:instrText xml:space="preserve"> SEQ Figure \* ARABIC </w:instrText>
      </w:r>
      <w:r w:rsidRPr="00F348C9">
        <w:rPr>
          <w:szCs w:val="20"/>
        </w:rPr>
        <w:fldChar w:fldCharType="separate"/>
      </w:r>
      <w:r w:rsidR="00B56577" w:rsidRPr="00F348C9">
        <w:rPr>
          <w:noProof/>
          <w:szCs w:val="20"/>
        </w:rPr>
        <w:t>1</w:t>
      </w:r>
      <w:r w:rsidRPr="00F348C9">
        <w:rPr>
          <w:szCs w:val="20"/>
        </w:rPr>
        <w:fldChar w:fldCharType="end"/>
      </w:r>
      <w:r w:rsidRPr="00F348C9">
        <w:rPr>
          <w:b/>
          <w:szCs w:val="20"/>
        </w:rPr>
        <w:t>.</w:t>
      </w:r>
      <w:r w:rsidR="00132146" w:rsidRPr="00F348C9">
        <w:rPr>
          <w:szCs w:val="20"/>
        </w:rPr>
        <w:t xml:space="preserve"> Current-Voltage Characteristic of the Thin F</w:t>
      </w:r>
      <w:r w:rsidR="00F348C9" w:rsidRPr="00F348C9">
        <w:rPr>
          <w:szCs w:val="20"/>
        </w:rPr>
        <w:t>ilm (Times New Roman 10</w:t>
      </w:r>
      <w:r w:rsidRPr="00F348C9">
        <w:rPr>
          <w:szCs w:val="20"/>
        </w:rPr>
        <w:t>)</w:t>
      </w:r>
    </w:p>
    <w:p w:rsidR="004A2506" w:rsidRDefault="004A2506" w:rsidP="004A2506">
      <w:pPr>
        <w:rPr>
          <w:sz w:val="24"/>
          <w:szCs w:val="24"/>
        </w:rPr>
      </w:pPr>
      <w:r w:rsidRPr="0069318C">
        <w:rPr>
          <w:sz w:val="24"/>
          <w:szCs w:val="24"/>
        </w:rPr>
        <w:t xml:space="preserve">Tables (refer with: Table 1, Table 2, ...) should </w:t>
      </w:r>
      <w:r>
        <w:rPr>
          <w:sz w:val="24"/>
          <w:szCs w:val="24"/>
        </w:rPr>
        <w:t xml:space="preserve">also </w:t>
      </w:r>
      <w:r w:rsidRPr="0069318C">
        <w:rPr>
          <w:sz w:val="24"/>
          <w:szCs w:val="24"/>
        </w:rPr>
        <w:t xml:space="preserve">be presented as part of the text, but in such a way as to avoid confusion with the text. A descriptive title should be placed </w:t>
      </w:r>
      <w:r w:rsidRPr="0069318C">
        <w:rPr>
          <w:i/>
          <w:sz w:val="24"/>
          <w:szCs w:val="24"/>
        </w:rPr>
        <w:t>above</w:t>
      </w:r>
      <w:r w:rsidRPr="0069318C">
        <w:rPr>
          <w:sz w:val="24"/>
          <w:szCs w:val="24"/>
        </w:rPr>
        <w:t xml:space="preserve"> each table. Units in tables should be given in </w:t>
      </w:r>
      <w:r w:rsidR="008A1160">
        <w:rPr>
          <w:sz w:val="24"/>
          <w:szCs w:val="24"/>
        </w:rPr>
        <w:t xml:space="preserve">square </w:t>
      </w:r>
      <w:r w:rsidRPr="0069318C">
        <w:rPr>
          <w:sz w:val="24"/>
          <w:szCs w:val="24"/>
        </w:rPr>
        <w:t xml:space="preserve">brackets </w:t>
      </w:r>
      <w:r w:rsidR="008A1160">
        <w:rPr>
          <w:sz w:val="24"/>
          <w:szCs w:val="24"/>
        </w:rPr>
        <w:t>[</w:t>
      </w:r>
      <w:r>
        <w:rPr>
          <w:sz w:val="24"/>
          <w:szCs w:val="24"/>
        </w:rPr>
        <w:t>kN</w:t>
      </w:r>
      <w:r w:rsidR="008A1160">
        <w:rPr>
          <w:sz w:val="24"/>
          <w:szCs w:val="24"/>
        </w:rPr>
        <w:t>]</w:t>
      </w:r>
      <w:r w:rsidRPr="0069318C">
        <w:rPr>
          <w:sz w:val="24"/>
          <w:szCs w:val="24"/>
        </w:rPr>
        <w:t xml:space="preserve">. </w:t>
      </w:r>
      <w:r w:rsidR="00883AA7">
        <w:rPr>
          <w:sz w:val="24"/>
          <w:szCs w:val="24"/>
        </w:rPr>
        <w:t xml:space="preserve">For example, see Table 1. </w:t>
      </w:r>
    </w:p>
    <w:p w:rsidR="00883AA7" w:rsidRPr="00F348C9" w:rsidRDefault="00883AA7" w:rsidP="00883AA7">
      <w:pPr>
        <w:pStyle w:val="Caption"/>
        <w:keepNext/>
        <w:spacing w:before="240"/>
        <w:rPr>
          <w:szCs w:val="20"/>
        </w:rPr>
      </w:pPr>
      <w:r w:rsidRPr="00F348C9">
        <w:rPr>
          <w:szCs w:val="20"/>
        </w:rPr>
        <w:t xml:space="preserve">Table </w:t>
      </w:r>
      <w:r w:rsidRPr="00F348C9">
        <w:rPr>
          <w:szCs w:val="20"/>
        </w:rPr>
        <w:fldChar w:fldCharType="begin"/>
      </w:r>
      <w:r w:rsidRPr="00F348C9">
        <w:rPr>
          <w:szCs w:val="20"/>
        </w:rPr>
        <w:instrText xml:space="preserve"> SEQ Table \* ARABIC </w:instrText>
      </w:r>
      <w:r w:rsidRPr="00F348C9">
        <w:rPr>
          <w:szCs w:val="20"/>
        </w:rPr>
        <w:fldChar w:fldCharType="separate"/>
      </w:r>
      <w:r w:rsidR="00B56577" w:rsidRPr="00F348C9">
        <w:rPr>
          <w:noProof/>
          <w:szCs w:val="20"/>
        </w:rPr>
        <w:t>1</w:t>
      </w:r>
      <w:r w:rsidRPr="00F348C9">
        <w:rPr>
          <w:szCs w:val="20"/>
        </w:rPr>
        <w:fldChar w:fldCharType="end"/>
      </w:r>
      <w:r w:rsidRPr="00F348C9">
        <w:rPr>
          <w:szCs w:val="20"/>
        </w:rPr>
        <w:t xml:space="preserve">. Table text – table text – table text </w:t>
      </w:r>
      <w:r w:rsidR="00F348C9" w:rsidRPr="00F348C9">
        <w:rPr>
          <w:szCs w:val="20"/>
        </w:rPr>
        <w:t>(Times New Roman 10</w:t>
      </w:r>
      <w:r w:rsidRPr="00F348C9">
        <w:rPr>
          <w:szCs w:val="20"/>
        </w:rPr>
        <w:t>)</w:t>
      </w:r>
    </w:p>
    <w:tbl>
      <w:tblPr>
        <w:tblW w:w="4320" w:type="dxa"/>
        <w:jc w:val="center"/>
        <w:tblLayout w:type="fixed"/>
        <w:tblCellMar>
          <w:left w:w="70" w:type="dxa"/>
          <w:right w:w="70" w:type="dxa"/>
        </w:tblCellMar>
        <w:tblLook w:val="0000" w:firstRow="0" w:lastRow="0" w:firstColumn="0" w:lastColumn="0" w:noHBand="0" w:noVBand="0"/>
      </w:tblPr>
      <w:tblGrid>
        <w:gridCol w:w="1008"/>
        <w:gridCol w:w="1872"/>
        <w:gridCol w:w="1440"/>
      </w:tblGrid>
      <w:tr w:rsidR="00883AA7" w:rsidRPr="00E76E07" w:rsidTr="00C55C9F">
        <w:trPr>
          <w:jc w:val="center"/>
        </w:trPr>
        <w:tc>
          <w:tcPr>
            <w:tcW w:w="1008" w:type="dxa"/>
            <w:tcBorders>
              <w:top w:val="single" w:sz="12" w:space="0" w:color="auto"/>
              <w:bottom w:val="single" w:sz="6" w:space="0" w:color="auto"/>
            </w:tcBorders>
            <w:vAlign w:val="center"/>
          </w:tcPr>
          <w:p w:rsidR="00883AA7" w:rsidRPr="00E76E07" w:rsidRDefault="00883AA7" w:rsidP="00C55C9F">
            <w:pPr>
              <w:keepNext/>
              <w:keepLines/>
              <w:overflowPunct/>
              <w:autoSpaceDE/>
              <w:autoSpaceDN/>
              <w:adjustRightInd/>
              <w:ind w:left="57" w:firstLine="0"/>
              <w:jc w:val="center"/>
              <w:textAlignment w:val="auto"/>
              <w:rPr>
                <w:iCs/>
                <w:lang w:eastAsia="en-US"/>
              </w:rPr>
            </w:pPr>
            <w:r w:rsidRPr="00E76E07">
              <w:rPr>
                <w:iCs/>
                <w:lang w:eastAsia="en-US"/>
              </w:rPr>
              <w:t>Month</w:t>
            </w:r>
          </w:p>
        </w:tc>
        <w:tc>
          <w:tcPr>
            <w:tcW w:w="1872" w:type="dxa"/>
            <w:tcBorders>
              <w:top w:val="single" w:sz="12" w:space="0" w:color="auto"/>
              <w:bottom w:val="single" w:sz="6" w:space="0" w:color="auto"/>
            </w:tcBorders>
            <w:vAlign w:val="center"/>
          </w:tcPr>
          <w:p w:rsidR="00883AA7" w:rsidRPr="00E76E07" w:rsidRDefault="00883AA7" w:rsidP="00C55C9F">
            <w:pPr>
              <w:keepNext/>
              <w:keepLines/>
              <w:overflowPunct/>
              <w:autoSpaceDE/>
              <w:autoSpaceDN/>
              <w:adjustRightInd/>
              <w:ind w:left="57" w:firstLine="0"/>
              <w:jc w:val="center"/>
              <w:textAlignment w:val="auto"/>
              <w:rPr>
                <w:iCs/>
                <w:lang w:eastAsia="en-US"/>
              </w:rPr>
            </w:pPr>
            <w:r w:rsidRPr="00E76E07">
              <w:rPr>
                <w:iCs/>
                <w:lang w:eastAsia="en-US"/>
              </w:rPr>
              <w:t>Consumption [kWh]</w:t>
            </w:r>
          </w:p>
        </w:tc>
        <w:tc>
          <w:tcPr>
            <w:tcW w:w="1440" w:type="dxa"/>
            <w:tcBorders>
              <w:top w:val="single" w:sz="12" w:space="0" w:color="auto"/>
              <w:bottom w:val="single" w:sz="6" w:space="0" w:color="auto"/>
            </w:tcBorders>
            <w:vAlign w:val="center"/>
          </w:tcPr>
          <w:p w:rsidR="00883AA7" w:rsidRPr="00E76E07" w:rsidRDefault="00883AA7" w:rsidP="00C55C9F">
            <w:pPr>
              <w:keepNext/>
              <w:keepLines/>
              <w:overflowPunct/>
              <w:autoSpaceDE/>
              <w:autoSpaceDN/>
              <w:adjustRightInd/>
              <w:ind w:left="57" w:firstLine="0"/>
              <w:jc w:val="center"/>
              <w:textAlignment w:val="auto"/>
              <w:rPr>
                <w:iCs/>
                <w:lang w:eastAsia="en-US"/>
              </w:rPr>
            </w:pPr>
            <w:r w:rsidRPr="00E76E07">
              <w:rPr>
                <w:iCs/>
                <w:lang w:eastAsia="en-US"/>
              </w:rPr>
              <w:t>Costs [USD]</w:t>
            </w:r>
          </w:p>
        </w:tc>
      </w:tr>
      <w:tr w:rsidR="00883AA7" w:rsidRPr="00E76E07" w:rsidTr="00C55C9F">
        <w:trPr>
          <w:jc w:val="center"/>
        </w:trPr>
        <w:tc>
          <w:tcPr>
            <w:tcW w:w="1008" w:type="dxa"/>
            <w:tcBorders>
              <w:top w:val="single" w:sz="6" w:space="0" w:color="auto"/>
            </w:tcBorders>
            <w:vAlign w:val="center"/>
          </w:tcPr>
          <w:p w:rsidR="00883AA7" w:rsidRPr="00E76E07" w:rsidRDefault="00883AA7" w:rsidP="00C55C9F">
            <w:pPr>
              <w:keepNext/>
              <w:keepLines/>
              <w:overflowPunct/>
              <w:autoSpaceDE/>
              <w:autoSpaceDN/>
              <w:adjustRightInd/>
              <w:ind w:left="57" w:firstLine="0"/>
              <w:jc w:val="center"/>
              <w:textAlignment w:val="auto"/>
              <w:rPr>
                <w:lang w:eastAsia="en-US"/>
              </w:rPr>
            </w:pPr>
            <w:r w:rsidRPr="00E76E07">
              <w:rPr>
                <w:lang w:eastAsia="en-US"/>
              </w:rPr>
              <w:t>January</w:t>
            </w:r>
          </w:p>
        </w:tc>
        <w:tc>
          <w:tcPr>
            <w:tcW w:w="1872" w:type="dxa"/>
            <w:tcBorders>
              <w:top w:val="single" w:sz="6" w:space="0" w:color="auto"/>
            </w:tcBorders>
            <w:vAlign w:val="center"/>
          </w:tcPr>
          <w:p w:rsidR="00883AA7" w:rsidRPr="00E76E07" w:rsidRDefault="00883AA7" w:rsidP="00C55C9F">
            <w:pPr>
              <w:keepNext/>
              <w:keepLines/>
              <w:overflowPunct/>
              <w:autoSpaceDE/>
              <w:autoSpaceDN/>
              <w:adjustRightInd/>
              <w:ind w:left="57" w:firstLine="0"/>
              <w:jc w:val="center"/>
              <w:textAlignment w:val="auto"/>
              <w:rPr>
                <w:lang w:eastAsia="en-US"/>
              </w:rPr>
            </w:pPr>
            <w:r w:rsidRPr="00E76E07">
              <w:rPr>
                <w:lang w:eastAsia="en-US"/>
              </w:rPr>
              <w:t>10.5</w:t>
            </w:r>
          </w:p>
        </w:tc>
        <w:tc>
          <w:tcPr>
            <w:tcW w:w="1440" w:type="dxa"/>
            <w:tcBorders>
              <w:top w:val="single" w:sz="6" w:space="0" w:color="auto"/>
            </w:tcBorders>
            <w:vAlign w:val="center"/>
          </w:tcPr>
          <w:p w:rsidR="00883AA7" w:rsidRPr="00E76E07" w:rsidRDefault="00883AA7" w:rsidP="00C55C9F">
            <w:pPr>
              <w:keepNext/>
              <w:keepLines/>
              <w:overflowPunct/>
              <w:autoSpaceDE/>
              <w:autoSpaceDN/>
              <w:adjustRightInd/>
              <w:ind w:left="57" w:firstLine="0"/>
              <w:jc w:val="center"/>
              <w:textAlignment w:val="auto"/>
              <w:rPr>
                <w:lang w:eastAsia="en-US"/>
              </w:rPr>
            </w:pPr>
            <w:r w:rsidRPr="00E76E07">
              <w:rPr>
                <w:lang w:eastAsia="en-US"/>
              </w:rPr>
              <w:t>2000</w:t>
            </w:r>
          </w:p>
        </w:tc>
      </w:tr>
      <w:tr w:rsidR="00883AA7" w:rsidRPr="00E76E07" w:rsidTr="00C55C9F">
        <w:trPr>
          <w:jc w:val="center"/>
        </w:trPr>
        <w:tc>
          <w:tcPr>
            <w:tcW w:w="1008" w:type="dxa"/>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February</w:t>
            </w:r>
          </w:p>
        </w:tc>
        <w:tc>
          <w:tcPr>
            <w:tcW w:w="1872" w:type="dxa"/>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11.0</w:t>
            </w:r>
          </w:p>
        </w:tc>
        <w:tc>
          <w:tcPr>
            <w:tcW w:w="1440" w:type="dxa"/>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2500</w:t>
            </w:r>
          </w:p>
        </w:tc>
      </w:tr>
      <w:tr w:rsidR="00883AA7" w:rsidRPr="00E76E07" w:rsidTr="00C55C9F">
        <w:trPr>
          <w:jc w:val="center"/>
        </w:trPr>
        <w:tc>
          <w:tcPr>
            <w:tcW w:w="1008" w:type="dxa"/>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March</w:t>
            </w:r>
          </w:p>
        </w:tc>
        <w:tc>
          <w:tcPr>
            <w:tcW w:w="1872" w:type="dxa"/>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7.8</w:t>
            </w:r>
          </w:p>
        </w:tc>
        <w:tc>
          <w:tcPr>
            <w:tcW w:w="1440" w:type="dxa"/>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1400</w:t>
            </w:r>
          </w:p>
        </w:tc>
      </w:tr>
      <w:tr w:rsidR="00883AA7" w:rsidRPr="00E76E07" w:rsidTr="00C55C9F">
        <w:trPr>
          <w:jc w:val="center"/>
        </w:trPr>
        <w:tc>
          <w:tcPr>
            <w:tcW w:w="1008" w:type="dxa"/>
            <w:tcBorders>
              <w:bottom w:val="single" w:sz="12" w:space="0" w:color="auto"/>
            </w:tcBorders>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April</w:t>
            </w:r>
          </w:p>
        </w:tc>
        <w:tc>
          <w:tcPr>
            <w:tcW w:w="1872" w:type="dxa"/>
            <w:tcBorders>
              <w:bottom w:val="single" w:sz="12" w:space="0" w:color="auto"/>
            </w:tcBorders>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4.5</w:t>
            </w:r>
          </w:p>
        </w:tc>
        <w:tc>
          <w:tcPr>
            <w:tcW w:w="1440" w:type="dxa"/>
            <w:tcBorders>
              <w:bottom w:val="single" w:sz="12" w:space="0" w:color="auto"/>
            </w:tcBorders>
            <w:vAlign w:val="center"/>
          </w:tcPr>
          <w:p w:rsidR="00883AA7" w:rsidRPr="00E76E07" w:rsidRDefault="00883AA7" w:rsidP="00C55C9F">
            <w:pPr>
              <w:overflowPunct/>
              <w:autoSpaceDE/>
              <w:autoSpaceDN/>
              <w:adjustRightInd/>
              <w:ind w:left="57" w:firstLine="0"/>
              <w:jc w:val="center"/>
              <w:textAlignment w:val="auto"/>
              <w:rPr>
                <w:lang w:eastAsia="en-US"/>
              </w:rPr>
            </w:pPr>
            <w:r w:rsidRPr="00E76E07">
              <w:rPr>
                <w:lang w:eastAsia="en-US"/>
              </w:rPr>
              <w:t>1050</w:t>
            </w:r>
          </w:p>
        </w:tc>
      </w:tr>
    </w:tbl>
    <w:p w:rsidR="00883AA7" w:rsidRDefault="00883AA7" w:rsidP="004A2506">
      <w:pPr>
        <w:rPr>
          <w:sz w:val="24"/>
          <w:szCs w:val="24"/>
        </w:rPr>
      </w:pPr>
    </w:p>
    <w:p w:rsidR="004A2506" w:rsidRPr="0069318C" w:rsidRDefault="004A2506" w:rsidP="00996943">
      <w:pPr>
        <w:rPr>
          <w:sz w:val="24"/>
          <w:szCs w:val="24"/>
          <w:lang w:val="id-ID"/>
        </w:rPr>
      </w:pPr>
      <w:r w:rsidRPr="0069318C">
        <w:rPr>
          <w:sz w:val="24"/>
          <w:szCs w:val="24"/>
        </w:rPr>
        <w:lastRenderedPageBreak/>
        <w:t>Do not use any macros for the figures and tables. (We will not be able to convert such papers into our system)</w:t>
      </w:r>
      <w:r w:rsidRPr="0069318C">
        <w:rPr>
          <w:sz w:val="24"/>
          <w:szCs w:val="24"/>
          <w:lang w:val="id-ID"/>
        </w:rPr>
        <w:t xml:space="preserve">. </w:t>
      </w:r>
      <w:r w:rsidR="00F60E87" w:rsidRPr="0069318C">
        <w:rPr>
          <w:sz w:val="24"/>
          <w:szCs w:val="24"/>
          <w:lang w:eastAsia="en-US"/>
        </w:rPr>
        <w:t xml:space="preserve">Please make sure that all text in the figures is readable. </w:t>
      </w:r>
      <w:r w:rsidR="00F60E87" w:rsidRPr="0069318C">
        <w:rPr>
          <w:bCs/>
          <w:iCs/>
          <w:sz w:val="24"/>
          <w:szCs w:val="24"/>
          <w:lang w:eastAsia="en-US"/>
        </w:rPr>
        <w:t>Figures</w:t>
      </w:r>
      <w:r w:rsidR="00F60E87" w:rsidRPr="0069318C">
        <w:rPr>
          <w:bCs/>
          <w:iCs/>
          <w:sz w:val="24"/>
          <w:szCs w:val="24"/>
          <w:lang w:val="id-ID" w:eastAsia="en-US"/>
        </w:rPr>
        <w:t xml:space="preserve"> and tables</w:t>
      </w:r>
      <w:r w:rsidR="00F60E87" w:rsidRPr="0069318C">
        <w:rPr>
          <w:bCs/>
          <w:iCs/>
          <w:sz w:val="24"/>
          <w:szCs w:val="24"/>
          <w:lang w:eastAsia="en-US"/>
        </w:rPr>
        <w:t xml:space="preserve"> should be centered.</w:t>
      </w:r>
      <w:r w:rsidR="00F60E87">
        <w:rPr>
          <w:bCs/>
          <w:iCs/>
          <w:sz w:val="24"/>
          <w:szCs w:val="24"/>
          <w:lang w:eastAsia="en-US"/>
        </w:rPr>
        <w:t xml:space="preserve"> </w:t>
      </w:r>
    </w:p>
    <w:p w:rsidR="008F40FF" w:rsidRPr="00AD0091" w:rsidRDefault="008F40FF" w:rsidP="00C56008">
      <w:pPr>
        <w:pStyle w:val="Heading1"/>
        <w:spacing w:after="120"/>
        <w:ind w:left="289" w:hanging="289"/>
        <w:rPr>
          <w:rFonts w:ascii="Arial" w:hAnsi="Arial" w:cs="Arial"/>
          <w:sz w:val="24"/>
          <w:szCs w:val="24"/>
          <w:lang w:val="id-ID"/>
        </w:rPr>
      </w:pPr>
      <w:r w:rsidRPr="00AD0091">
        <w:rPr>
          <w:rFonts w:ascii="Arial" w:hAnsi="Arial" w:cs="Arial"/>
          <w:sz w:val="24"/>
          <w:szCs w:val="24"/>
          <w:lang w:val="id-ID"/>
        </w:rPr>
        <w:t>Result</w:t>
      </w:r>
      <w:r w:rsidR="002402C6">
        <w:rPr>
          <w:rFonts w:ascii="Arial" w:hAnsi="Arial" w:cs="Arial"/>
          <w:sz w:val="24"/>
          <w:szCs w:val="24"/>
        </w:rPr>
        <w:t>s</w:t>
      </w:r>
      <w:r w:rsidRPr="00AD0091">
        <w:rPr>
          <w:rFonts w:ascii="Arial" w:hAnsi="Arial" w:cs="Arial"/>
          <w:sz w:val="24"/>
          <w:szCs w:val="24"/>
          <w:lang w:val="id-ID"/>
        </w:rPr>
        <w:t xml:space="preserve"> and Discussion</w:t>
      </w:r>
      <w:r w:rsidR="002402C6">
        <w:rPr>
          <w:rFonts w:ascii="Arial" w:hAnsi="Arial" w:cs="Arial"/>
          <w:sz w:val="24"/>
          <w:szCs w:val="24"/>
        </w:rPr>
        <w:t>s</w:t>
      </w:r>
      <w:r w:rsidR="00AD0091">
        <w:rPr>
          <w:rFonts w:ascii="Arial" w:hAnsi="Arial" w:cs="Arial"/>
          <w:sz w:val="24"/>
          <w:szCs w:val="24"/>
        </w:rPr>
        <w:t xml:space="preserve"> (Arial 12)</w:t>
      </w:r>
    </w:p>
    <w:p w:rsidR="001764F5" w:rsidRPr="009B1B0B" w:rsidRDefault="009B1B0B" w:rsidP="001764F5">
      <w:pPr>
        <w:rPr>
          <w:sz w:val="24"/>
          <w:szCs w:val="24"/>
        </w:rPr>
      </w:pPr>
      <w:r>
        <w:rPr>
          <w:sz w:val="24"/>
          <w:szCs w:val="24"/>
        </w:rPr>
        <w:t xml:space="preserve">SI units </w:t>
      </w:r>
      <w:r w:rsidR="00C96909">
        <w:rPr>
          <w:sz w:val="24"/>
          <w:szCs w:val="24"/>
        </w:rPr>
        <w:t xml:space="preserve">should be used throughout in the manuscript. If other units must be used, equivalent SI units shall follow in parentheses </w:t>
      </w:r>
    </w:p>
    <w:p w:rsidR="008F40FF" w:rsidRPr="00AD0091" w:rsidRDefault="008F40FF" w:rsidP="00C56008">
      <w:pPr>
        <w:pStyle w:val="Heading1"/>
        <w:spacing w:after="120"/>
        <w:ind w:left="289" w:hanging="289"/>
        <w:rPr>
          <w:rFonts w:ascii="Arial" w:hAnsi="Arial" w:cs="Arial"/>
          <w:sz w:val="24"/>
          <w:szCs w:val="24"/>
          <w:lang w:val="id-ID"/>
        </w:rPr>
      </w:pPr>
      <w:r w:rsidRPr="00AD0091">
        <w:rPr>
          <w:rFonts w:ascii="Arial" w:hAnsi="Arial" w:cs="Arial"/>
          <w:sz w:val="24"/>
          <w:szCs w:val="24"/>
          <w:lang w:val="id-ID"/>
        </w:rPr>
        <w:t>Conclusion</w:t>
      </w:r>
      <w:r w:rsidR="00AD0091">
        <w:rPr>
          <w:rFonts w:ascii="Arial" w:hAnsi="Arial" w:cs="Arial"/>
          <w:sz w:val="24"/>
          <w:szCs w:val="24"/>
        </w:rPr>
        <w:t xml:space="preserve"> (Arial 12)</w:t>
      </w:r>
    </w:p>
    <w:p w:rsidR="008F40FF" w:rsidRDefault="00C033A9" w:rsidP="00C033A9">
      <w:pPr>
        <w:rPr>
          <w:sz w:val="24"/>
          <w:szCs w:val="24"/>
        </w:rPr>
      </w:pPr>
      <w:r w:rsidRPr="0069318C">
        <w:rPr>
          <w:sz w:val="24"/>
          <w:szCs w:val="24"/>
        </w:rPr>
        <w:t xml:space="preserve">The author should include and sign a </w:t>
      </w:r>
      <w:r w:rsidR="00200CD1">
        <w:rPr>
          <w:sz w:val="24"/>
          <w:szCs w:val="24"/>
        </w:rPr>
        <w:t>originality and copyright statement</w:t>
      </w:r>
      <w:r w:rsidRPr="0069318C">
        <w:rPr>
          <w:sz w:val="24"/>
          <w:szCs w:val="24"/>
          <w:lang w:val="id-ID"/>
        </w:rPr>
        <w:t xml:space="preserve">. </w:t>
      </w:r>
      <w:r w:rsidRPr="0069318C">
        <w:rPr>
          <w:sz w:val="24"/>
          <w:szCs w:val="24"/>
        </w:rPr>
        <w:t>All papers will be reviewed, and the results will be forwarded to the authors ASAP.</w:t>
      </w:r>
      <w:r w:rsidR="00200CD1">
        <w:rPr>
          <w:sz w:val="24"/>
          <w:szCs w:val="24"/>
        </w:rPr>
        <w:t xml:space="preserve"> </w:t>
      </w:r>
    </w:p>
    <w:p w:rsidR="00996943" w:rsidRPr="00AD0091" w:rsidRDefault="00996943" w:rsidP="00C56008">
      <w:pPr>
        <w:pStyle w:val="Heading1"/>
        <w:numPr>
          <w:ilvl w:val="0"/>
          <w:numId w:val="0"/>
        </w:numPr>
        <w:spacing w:after="120"/>
        <w:rPr>
          <w:rFonts w:ascii="Arial" w:hAnsi="Arial" w:cs="Arial"/>
          <w:sz w:val="24"/>
          <w:szCs w:val="24"/>
        </w:rPr>
      </w:pPr>
      <w:r w:rsidRPr="00AD0091">
        <w:rPr>
          <w:rFonts w:ascii="Arial" w:hAnsi="Arial" w:cs="Arial"/>
          <w:sz w:val="24"/>
          <w:szCs w:val="24"/>
        </w:rPr>
        <w:t>References</w:t>
      </w:r>
      <w:r w:rsidR="00AD0091">
        <w:rPr>
          <w:rFonts w:ascii="Arial" w:hAnsi="Arial" w:cs="Arial"/>
          <w:sz w:val="24"/>
          <w:szCs w:val="24"/>
        </w:rPr>
        <w:t xml:space="preserve"> (Arial 12)</w:t>
      </w:r>
    </w:p>
    <w:p w:rsidR="00E76E07" w:rsidRPr="0069318C" w:rsidRDefault="00E76E07" w:rsidP="00853AC7">
      <w:pPr>
        <w:ind w:firstLine="0"/>
        <w:rPr>
          <w:sz w:val="24"/>
          <w:szCs w:val="24"/>
        </w:rPr>
      </w:pPr>
      <w:r w:rsidRPr="0069318C">
        <w:rPr>
          <w:sz w:val="24"/>
          <w:szCs w:val="24"/>
        </w:rPr>
        <w:t>Journal reference should be in the style set out as follow</w:t>
      </w:r>
      <w:r w:rsidR="006C749C" w:rsidRPr="0069318C">
        <w:rPr>
          <w:sz w:val="24"/>
          <w:szCs w:val="24"/>
        </w:rPr>
        <w:t>s</w:t>
      </w:r>
      <w:r w:rsidRPr="0069318C">
        <w:rPr>
          <w:sz w:val="24"/>
          <w:szCs w:val="24"/>
        </w:rPr>
        <w:t xml:space="preserve">: </w:t>
      </w:r>
    </w:p>
    <w:p w:rsidR="00E76E07" w:rsidRPr="0069318C" w:rsidRDefault="00E76E07" w:rsidP="00E76E07">
      <w:pPr>
        <w:pStyle w:val="ListParagraph"/>
        <w:numPr>
          <w:ilvl w:val="0"/>
          <w:numId w:val="5"/>
        </w:numPr>
        <w:ind w:left="284" w:hanging="284"/>
        <w:rPr>
          <w:sz w:val="24"/>
          <w:szCs w:val="24"/>
          <w:lang w:val="id-ID"/>
        </w:rPr>
      </w:pPr>
      <w:r w:rsidRPr="0069318C">
        <w:rPr>
          <w:sz w:val="24"/>
          <w:szCs w:val="24"/>
        </w:rPr>
        <w:t xml:space="preserve">Wade, R.L. and Harris, R.B., </w:t>
      </w:r>
      <w:r w:rsidR="00917678">
        <w:rPr>
          <w:sz w:val="24"/>
          <w:szCs w:val="24"/>
        </w:rPr>
        <w:t>“</w:t>
      </w:r>
      <w:r w:rsidRPr="0069318C">
        <w:rPr>
          <w:sz w:val="24"/>
          <w:szCs w:val="24"/>
        </w:rPr>
        <w:t>A Bidding Strategy</w:t>
      </w:r>
      <w:r w:rsidR="00917678">
        <w:rPr>
          <w:sz w:val="24"/>
          <w:szCs w:val="24"/>
        </w:rPr>
        <w:t>”</w:t>
      </w:r>
      <w:r w:rsidRPr="0069318C">
        <w:rPr>
          <w:sz w:val="24"/>
          <w:szCs w:val="24"/>
        </w:rPr>
        <w:t xml:space="preserve">, </w:t>
      </w:r>
      <w:r w:rsidRPr="00183984">
        <w:rPr>
          <w:i/>
          <w:sz w:val="24"/>
          <w:szCs w:val="24"/>
        </w:rPr>
        <w:t>Journal of the Construction Division</w:t>
      </w:r>
      <w:r w:rsidRPr="0069318C">
        <w:rPr>
          <w:sz w:val="24"/>
          <w:szCs w:val="24"/>
        </w:rPr>
        <w:t xml:space="preserve">, ASCE, </w:t>
      </w:r>
      <w:r w:rsidR="00917678">
        <w:rPr>
          <w:sz w:val="24"/>
          <w:szCs w:val="24"/>
        </w:rPr>
        <w:t xml:space="preserve">Vol. </w:t>
      </w:r>
      <w:r w:rsidRPr="0069318C">
        <w:rPr>
          <w:sz w:val="24"/>
          <w:szCs w:val="24"/>
        </w:rPr>
        <w:t>102, 1976, pp. 197-211.</w:t>
      </w:r>
      <w:r w:rsidR="00183984">
        <w:rPr>
          <w:sz w:val="24"/>
          <w:szCs w:val="24"/>
        </w:rPr>
        <w:t xml:space="preserve"> </w:t>
      </w:r>
    </w:p>
    <w:p w:rsidR="00183984" w:rsidRDefault="00183984" w:rsidP="00853AC7">
      <w:pPr>
        <w:ind w:firstLine="0"/>
        <w:rPr>
          <w:sz w:val="24"/>
          <w:szCs w:val="24"/>
        </w:rPr>
      </w:pPr>
    </w:p>
    <w:p w:rsidR="00ED508D" w:rsidRPr="0069318C" w:rsidRDefault="00ED508D" w:rsidP="00853AC7">
      <w:pPr>
        <w:ind w:firstLine="0"/>
        <w:rPr>
          <w:sz w:val="24"/>
          <w:szCs w:val="24"/>
        </w:rPr>
      </w:pPr>
      <w:r w:rsidRPr="0069318C">
        <w:rPr>
          <w:sz w:val="24"/>
          <w:szCs w:val="24"/>
        </w:rPr>
        <w:t>Conference paper should be in the style set out as follow</w:t>
      </w:r>
      <w:r w:rsidR="006C749C" w:rsidRPr="0069318C">
        <w:rPr>
          <w:sz w:val="24"/>
          <w:szCs w:val="24"/>
        </w:rPr>
        <w:t>s</w:t>
      </w:r>
      <w:r w:rsidRPr="0069318C">
        <w:rPr>
          <w:sz w:val="24"/>
          <w:szCs w:val="24"/>
        </w:rPr>
        <w:t>:</w:t>
      </w:r>
    </w:p>
    <w:p w:rsidR="00ED508D" w:rsidRDefault="00ED508D" w:rsidP="00ED508D">
      <w:pPr>
        <w:pStyle w:val="ListParagraph"/>
        <w:numPr>
          <w:ilvl w:val="0"/>
          <w:numId w:val="5"/>
        </w:numPr>
        <w:ind w:left="284" w:hanging="284"/>
        <w:rPr>
          <w:sz w:val="24"/>
          <w:szCs w:val="24"/>
        </w:rPr>
      </w:pPr>
      <w:r w:rsidRPr="0069318C">
        <w:rPr>
          <w:sz w:val="24"/>
          <w:szCs w:val="24"/>
        </w:rPr>
        <w:t xml:space="preserve">Manjeshwar, A. and Agrawal, D.P., </w:t>
      </w:r>
      <w:r w:rsidR="00917678">
        <w:rPr>
          <w:sz w:val="24"/>
          <w:szCs w:val="24"/>
        </w:rPr>
        <w:t>“</w:t>
      </w:r>
      <w:r w:rsidRPr="0069318C">
        <w:rPr>
          <w:sz w:val="24"/>
          <w:szCs w:val="24"/>
        </w:rPr>
        <w:t>A Routing Protocol for Enhanced Efficiency in Wireless Sensor Networks</w:t>
      </w:r>
      <w:r w:rsidR="00917678">
        <w:rPr>
          <w:sz w:val="24"/>
          <w:szCs w:val="24"/>
        </w:rPr>
        <w:t>”</w:t>
      </w:r>
      <w:r w:rsidRPr="0069318C">
        <w:rPr>
          <w:sz w:val="24"/>
          <w:szCs w:val="24"/>
        </w:rPr>
        <w:t xml:space="preserve">, </w:t>
      </w:r>
      <w:r w:rsidRPr="00183984">
        <w:rPr>
          <w:i/>
          <w:sz w:val="24"/>
          <w:szCs w:val="24"/>
        </w:rPr>
        <w:t xml:space="preserve">Proceedings of </w:t>
      </w:r>
      <w:r w:rsidR="00183984">
        <w:rPr>
          <w:i/>
          <w:sz w:val="24"/>
          <w:szCs w:val="24"/>
        </w:rPr>
        <w:t xml:space="preserve">the </w:t>
      </w:r>
      <w:r w:rsidRPr="00183984">
        <w:rPr>
          <w:i/>
          <w:sz w:val="24"/>
          <w:szCs w:val="24"/>
        </w:rPr>
        <w:t>15</w:t>
      </w:r>
      <w:r w:rsidRPr="00183984">
        <w:rPr>
          <w:i/>
          <w:sz w:val="24"/>
          <w:szCs w:val="24"/>
          <w:vertAlign w:val="superscript"/>
        </w:rPr>
        <w:t>th</w:t>
      </w:r>
      <w:r w:rsidRPr="00183984">
        <w:rPr>
          <w:i/>
          <w:sz w:val="24"/>
          <w:szCs w:val="24"/>
        </w:rPr>
        <w:t xml:space="preserve"> IPDPS</w:t>
      </w:r>
      <w:r w:rsidRPr="0069318C">
        <w:rPr>
          <w:sz w:val="24"/>
          <w:szCs w:val="24"/>
        </w:rPr>
        <w:t>, San Francisco (CA, USA), Apr</w:t>
      </w:r>
      <w:r w:rsidR="00183984">
        <w:rPr>
          <w:sz w:val="24"/>
          <w:szCs w:val="24"/>
        </w:rPr>
        <w:t>il</w:t>
      </w:r>
      <w:r w:rsidRPr="0069318C">
        <w:rPr>
          <w:sz w:val="24"/>
          <w:szCs w:val="24"/>
        </w:rPr>
        <w:t xml:space="preserve"> 2001, pp. 2009-2015</w:t>
      </w:r>
      <w:r w:rsidR="00183984">
        <w:rPr>
          <w:sz w:val="24"/>
          <w:szCs w:val="24"/>
        </w:rPr>
        <w:t xml:space="preserve"> (or paper number)</w:t>
      </w:r>
      <w:r w:rsidRPr="0069318C">
        <w:rPr>
          <w:sz w:val="24"/>
          <w:szCs w:val="24"/>
        </w:rPr>
        <w:t>.</w:t>
      </w:r>
      <w:r w:rsidR="00183984">
        <w:rPr>
          <w:sz w:val="24"/>
          <w:szCs w:val="24"/>
        </w:rPr>
        <w:t xml:space="preserve"> </w:t>
      </w:r>
    </w:p>
    <w:p w:rsidR="00183984" w:rsidRPr="0082128B" w:rsidRDefault="00183984" w:rsidP="0082128B">
      <w:pPr>
        <w:ind w:firstLine="0"/>
        <w:rPr>
          <w:sz w:val="24"/>
          <w:szCs w:val="24"/>
        </w:rPr>
      </w:pPr>
    </w:p>
    <w:p w:rsidR="00E76E07" w:rsidRPr="0069318C" w:rsidRDefault="00E76E07" w:rsidP="00853AC7">
      <w:pPr>
        <w:ind w:firstLine="0"/>
        <w:rPr>
          <w:sz w:val="24"/>
          <w:szCs w:val="24"/>
        </w:rPr>
      </w:pPr>
      <w:r w:rsidRPr="0069318C">
        <w:rPr>
          <w:sz w:val="24"/>
          <w:szCs w:val="24"/>
        </w:rPr>
        <w:t>Book reference is given as follow</w:t>
      </w:r>
      <w:r w:rsidR="006C749C" w:rsidRPr="0069318C">
        <w:rPr>
          <w:sz w:val="24"/>
          <w:szCs w:val="24"/>
        </w:rPr>
        <w:t>s</w:t>
      </w:r>
      <w:r w:rsidRPr="0069318C">
        <w:rPr>
          <w:sz w:val="24"/>
          <w:szCs w:val="24"/>
        </w:rPr>
        <w:t xml:space="preserve">: </w:t>
      </w:r>
    </w:p>
    <w:p w:rsidR="00E76E07" w:rsidRPr="0069318C" w:rsidRDefault="00E76E07" w:rsidP="00E76E07">
      <w:pPr>
        <w:pStyle w:val="ListParagraph"/>
        <w:numPr>
          <w:ilvl w:val="0"/>
          <w:numId w:val="5"/>
        </w:numPr>
        <w:ind w:left="284" w:hanging="284"/>
        <w:rPr>
          <w:sz w:val="24"/>
          <w:szCs w:val="24"/>
        </w:rPr>
      </w:pPr>
      <w:r w:rsidRPr="0069318C">
        <w:rPr>
          <w:sz w:val="24"/>
          <w:szCs w:val="24"/>
        </w:rPr>
        <w:t xml:space="preserve">Ogata, K., </w:t>
      </w:r>
      <w:r w:rsidRPr="0082128B">
        <w:rPr>
          <w:i/>
          <w:sz w:val="24"/>
          <w:szCs w:val="24"/>
        </w:rPr>
        <w:t>System Dynamics</w:t>
      </w:r>
      <w:r w:rsidRPr="0069318C">
        <w:rPr>
          <w:sz w:val="24"/>
          <w:szCs w:val="24"/>
        </w:rPr>
        <w:t xml:space="preserve">, </w:t>
      </w:r>
      <w:r w:rsidR="00387427">
        <w:rPr>
          <w:sz w:val="24"/>
          <w:szCs w:val="24"/>
        </w:rPr>
        <w:t>1</w:t>
      </w:r>
      <w:r w:rsidR="00387427" w:rsidRPr="00387427">
        <w:rPr>
          <w:sz w:val="24"/>
          <w:szCs w:val="24"/>
          <w:vertAlign w:val="superscript"/>
        </w:rPr>
        <w:t>st</w:t>
      </w:r>
      <w:r w:rsidR="00387427">
        <w:rPr>
          <w:sz w:val="24"/>
          <w:szCs w:val="24"/>
        </w:rPr>
        <w:t xml:space="preserve"> </w:t>
      </w:r>
      <w:r w:rsidRPr="0069318C">
        <w:rPr>
          <w:sz w:val="24"/>
          <w:szCs w:val="24"/>
        </w:rPr>
        <w:t>edition, Prentice-Hall, New Jersey, 1992.</w:t>
      </w:r>
    </w:p>
    <w:p w:rsidR="00130AB1" w:rsidRDefault="00130AB1" w:rsidP="00853AC7"/>
    <w:p w:rsidR="00853AC7" w:rsidRDefault="00853AC7" w:rsidP="00853AC7"/>
    <w:sectPr w:rsidR="00853AC7" w:rsidSect="00853AC7">
      <w:type w:val="continuous"/>
      <w:pgSz w:w="11906" w:h="16838" w:code="9"/>
      <w:pgMar w:top="1699" w:right="1138" w:bottom="1138" w:left="1411" w:header="994" w:footer="562" w:gutter="0"/>
      <w:cols w:space="3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84" w:rsidRDefault="005A6084" w:rsidP="00356807">
      <w:r>
        <w:separator/>
      </w:r>
    </w:p>
  </w:endnote>
  <w:endnote w:type="continuationSeparator" w:id="0">
    <w:p w:rsidR="005A6084" w:rsidRDefault="005A6084" w:rsidP="0035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34880"/>
      <w:docPartObj>
        <w:docPartGallery w:val="Page Numbers (Bottom of Page)"/>
        <w:docPartUnique/>
      </w:docPartObj>
    </w:sdtPr>
    <w:sdtEndPr/>
    <w:sdtContent>
      <w:p w:rsidR="00356807" w:rsidRDefault="00D23941" w:rsidP="005F3C42">
        <w:pPr>
          <w:pStyle w:val="Footer"/>
          <w:jc w:val="center"/>
        </w:pPr>
        <w:r>
          <w:fldChar w:fldCharType="begin"/>
        </w:r>
        <w:r>
          <w:instrText xml:space="preserve"> PAGE   \* MERGEFORMAT </w:instrText>
        </w:r>
        <w:r>
          <w:fldChar w:fldCharType="separate"/>
        </w:r>
        <w:r w:rsidR="00ED450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334877"/>
      <w:docPartObj>
        <w:docPartGallery w:val="Page Numbers (Bottom of Page)"/>
        <w:docPartUnique/>
      </w:docPartObj>
    </w:sdtPr>
    <w:sdtEndPr/>
    <w:sdtContent>
      <w:p w:rsidR="00356807" w:rsidRDefault="00D23941" w:rsidP="005F3C42">
        <w:pPr>
          <w:pStyle w:val="Footer"/>
          <w:jc w:val="center"/>
        </w:pPr>
        <w:r>
          <w:fldChar w:fldCharType="begin"/>
        </w:r>
        <w:r>
          <w:instrText xml:space="preserve"> PAGE   \* MERGEFORMAT </w:instrText>
        </w:r>
        <w:r>
          <w:fldChar w:fldCharType="separate"/>
        </w:r>
        <w:r w:rsidR="00ED450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84" w:rsidRDefault="005A6084" w:rsidP="00356807">
      <w:r>
        <w:separator/>
      </w:r>
    </w:p>
  </w:footnote>
  <w:footnote w:type="continuationSeparator" w:id="0">
    <w:p w:rsidR="005A6084" w:rsidRDefault="005A6084" w:rsidP="0035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7" w:rsidRPr="00F20E54" w:rsidRDefault="00356807" w:rsidP="00356807">
    <w:pPr>
      <w:pStyle w:val="Header"/>
      <w:jc w:val="center"/>
      <w:rPr>
        <w:sz w:val="20"/>
      </w:rPr>
    </w:pPr>
    <w:r w:rsidRPr="00F20E54">
      <w:rPr>
        <w:sz w:val="20"/>
      </w:rPr>
      <w:t xml:space="preserve">Author, F. </w:t>
    </w:r>
    <w:r w:rsidRPr="00F20E54">
      <w:rPr>
        <w:i/>
        <w:sz w:val="20"/>
      </w:rPr>
      <w:t>et al.</w:t>
    </w:r>
    <w:r w:rsidRPr="00F20E54">
      <w:rPr>
        <w:sz w:val="20"/>
      </w:rPr>
      <w:t xml:space="preserve"> / </w:t>
    </w:r>
    <w:r w:rsidR="00F20E54">
      <w:rPr>
        <w:sz w:val="20"/>
      </w:rPr>
      <w:t>The first words of the title …</w:t>
    </w:r>
    <w:r w:rsidRPr="00F20E54">
      <w:rPr>
        <w:sz w:val="20"/>
      </w:rPr>
      <w:t xml:space="preserve"> / </w:t>
    </w:r>
    <w:r w:rsidR="00247B22">
      <w:rPr>
        <w:sz w:val="20"/>
      </w:rPr>
      <w:t>ACESA</w:t>
    </w:r>
    <w:r w:rsidR="00F20E54" w:rsidRPr="00F20E54">
      <w:rPr>
        <w:sz w:val="20"/>
      </w:rPr>
      <w:t>, Vol. 1, No. 1, March 2018, 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CB" w:rsidRDefault="008F7DCB" w:rsidP="008A1160">
    <w:pPr>
      <w:pStyle w:val="Header"/>
      <w:jc w:val="center"/>
      <w:rPr>
        <w:b/>
        <w:sz w:val="20"/>
      </w:rPr>
    </w:pPr>
    <w:r>
      <w:rPr>
        <w:rStyle w:val="Strong"/>
        <w:b w:val="0"/>
        <w:noProof/>
        <w:lang w:eastAsia="en-US"/>
      </w:rPr>
      <w:drawing>
        <wp:inline distT="0" distB="0" distL="0" distR="0" wp14:anchorId="1779A32D" wp14:editId="3075BB1B">
          <wp:extent cx="4846320" cy="1244160"/>
          <wp:effectExtent l="0" t="0" r="0" b="0"/>
          <wp:docPr id="2" name="Picture 2" descr="IMG_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244160"/>
                  </a:xfrm>
                  <a:prstGeom prst="rect">
                    <a:avLst/>
                  </a:prstGeom>
                  <a:noFill/>
                  <a:ln>
                    <a:noFill/>
                  </a:ln>
                </pic:spPr>
              </pic:pic>
            </a:graphicData>
          </a:graphic>
        </wp:inline>
      </w:drawing>
    </w:r>
  </w:p>
  <w:p w:rsidR="008F7DCB" w:rsidRPr="00560214" w:rsidRDefault="008F7DCB" w:rsidP="00356807">
    <w:pPr>
      <w:pStyle w:val="Header"/>
      <w:rPr>
        <w:sz w:val="20"/>
      </w:rPr>
    </w:pPr>
  </w:p>
  <w:p w:rsidR="00356807" w:rsidRPr="00560214" w:rsidRDefault="00247B22" w:rsidP="00356807">
    <w:pPr>
      <w:pStyle w:val="Header"/>
      <w:rPr>
        <w:sz w:val="20"/>
      </w:rPr>
    </w:pPr>
    <w:r>
      <w:rPr>
        <w:sz w:val="20"/>
      </w:rPr>
      <w:t>ACESA</w:t>
    </w:r>
    <w:r w:rsidR="00356807" w:rsidRPr="00560214">
      <w:rPr>
        <w:sz w:val="20"/>
      </w:rPr>
      <w:t xml:space="preserve">, Vol. 1, No. 1, </w:t>
    </w:r>
    <w:r w:rsidR="00AD0091" w:rsidRPr="00560214">
      <w:rPr>
        <w:sz w:val="20"/>
      </w:rPr>
      <w:t>March</w:t>
    </w:r>
    <w:r w:rsidR="00356807" w:rsidRPr="00560214">
      <w:rPr>
        <w:sz w:val="20"/>
      </w:rPr>
      <w:t xml:space="preserve"> 201</w:t>
    </w:r>
    <w:r w:rsidR="00AD0091" w:rsidRPr="00560214">
      <w:rPr>
        <w:sz w:val="20"/>
      </w:rPr>
      <w:t>8</w:t>
    </w:r>
    <w:r w:rsidR="00356807" w:rsidRPr="00560214">
      <w:rPr>
        <w:sz w:val="20"/>
      </w:rPr>
      <w:t>, 1–</w:t>
    </w:r>
    <w:r w:rsidR="00AD0091" w:rsidRPr="00560214">
      <w:rPr>
        <w:sz w:val="20"/>
      </w:rPr>
      <w:t>8</w:t>
    </w:r>
    <w:r w:rsidR="00356807" w:rsidRPr="00560214">
      <w:rPr>
        <w:sz w:val="20"/>
      </w:rPr>
      <w:tab/>
    </w:r>
    <w:r w:rsidR="00356807" w:rsidRPr="00560214">
      <w:rPr>
        <w:sz w:val="20"/>
      </w:rPr>
      <w:tab/>
    </w:r>
    <w:hyperlink r:id="rId2" w:history="1">
      <w:r w:rsidR="008F7DCB" w:rsidRPr="00560214">
        <w:rPr>
          <w:rStyle w:val="Hyperlink"/>
          <w:sz w:val="20"/>
        </w:rPr>
        <w:t>publication.petra.ac.id/index.php/</w:t>
      </w:r>
      <w:r>
        <w:rPr>
          <w:rStyle w:val="Hyperlink"/>
          <w:sz w:val="20"/>
        </w:rPr>
        <w:t>ACESA</w:t>
      </w:r>
    </w:hyperlink>
  </w:p>
  <w:p w:rsidR="00356807" w:rsidRPr="00560214" w:rsidRDefault="00356807" w:rsidP="00356807">
    <w:pPr>
      <w:pStyle w:val="Header"/>
      <w:rPr>
        <w:sz w:val="20"/>
      </w:rPr>
    </w:pPr>
  </w:p>
  <w:p w:rsidR="008F7DCB" w:rsidRPr="00560214" w:rsidRDefault="008F7DCB" w:rsidP="0035680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B1D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2F5300"/>
    <w:multiLevelType w:val="hybridMultilevel"/>
    <w:tmpl w:val="E1506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024621"/>
    <w:multiLevelType w:val="hybridMultilevel"/>
    <w:tmpl w:val="D1E4CBFC"/>
    <w:lvl w:ilvl="0" w:tplc="20EEA836">
      <w:start w:val="1"/>
      <w:numFmt w:val="decimal"/>
      <w:lvlText w:val="Figure %1.  "/>
      <w:lvlJc w:val="center"/>
      <w:pPr>
        <w:ind w:left="360" w:hanging="360"/>
      </w:pPr>
      <w:rPr>
        <w:rFonts w:ascii="Times New Roman" w:hAnsi="Times New Roman" w:hint="default"/>
        <w:b w:val="0"/>
        <w:i w:val="0"/>
        <w:color w:val="auto"/>
        <w:sz w:val="2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4F4D7812"/>
    <w:multiLevelType w:val="multilevel"/>
    <w:tmpl w:val="A17A3036"/>
    <w:lvl w:ilvl="0">
      <w:start w:val="1"/>
      <w:numFmt w:val="decimal"/>
      <w:pStyle w:val="Heading1"/>
      <w:lvlText w:val="%1."/>
      <w:lvlJc w:val="left"/>
      <w:pPr>
        <w:ind w:left="288" w:hanging="288"/>
      </w:pPr>
      <w:rPr>
        <w:rFonts w:hint="default"/>
      </w:rPr>
    </w:lvl>
    <w:lvl w:ilvl="1">
      <w:start w:val="1"/>
      <w:numFmt w:val="decimal"/>
      <w:pStyle w:val="Heading2"/>
      <w:isLgl/>
      <w:lvlText w:val="%1.%2."/>
      <w:lvlJc w:val="left"/>
      <w:pPr>
        <w:ind w:left="432" w:hanging="432"/>
      </w:pPr>
      <w:rPr>
        <w:rFonts w:hint="default"/>
        <w:b/>
      </w:rPr>
    </w:lvl>
    <w:lvl w:ilvl="2">
      <w:start w:val="1"/>
      <w:numFmt w:val="decimal"/>
      <w:pStyle w:val="Heading3"/>
      <w:isLgl/>
      <w:lvlText w:val="%1.%2.%3."/>
      <w:lvlJc w:val="left"/>
      <w:pPr>
        <w:ind w:left="576" w:hanging="576"/>
      </w:pPr>
      <w:rPr>
        <w:rFonts w:hint="default"/>
        <w:b/>
      </w:rPr>
    </w:lvl>
    <w:lvl w:ilvl="3">
      <w:start w:val="1"/>
      <w:numFmt w:val="decimal"/>
      <w:pStyle w:val="Heading4"/>
      <w:isLgl/>
      <w:lvlText w:val="%1.%2.%3.%4."/>
      <w:lvlJc w:val="left"/>
      <w:pPr>
        <w:ind w:left="720" w:hanging="720"/>
      </w:pPr>
      <w:rPr>
        <w:rFonts w:hint="default"/>
        <w:b/>
      </w:rPr>
    </w:lvl>
    <w:lvl w:ilvl="4">
      <w:start w:val="1"/>
      <w:numFmt w:val="decimal"/>
      <w:pStyle w:val="Heading5"/>
      <w:isLgl/>
      <w:lvlText w:val="%1.%2.%3.%4.%5."/>
      <w:lvlJc w:val="left"/>
      <w:pPr>
        <w:ind w:left="864" w:hanging="864"/>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531D3818"/>
    <w:multiLevelType w:val="hybridMultilevel"/>
    <w:tmpl w:val="F56272CA"/>
    <w:lvl w:ilvl="0" w:tplc="89C0093E">
      <w:start w:val="1"/>
      <w:numFmt w:val="decimal"/>
      <w:lvlText w:val="[%1]"/>
      <w:lvlJc w:val="left"/>
      <w:pPr>
        <w:tabs>
          <w:tab w:val="num" w:pos="567"/>
        </w:tabs>
        <w:ind w:left="567" w:hanging="567"/>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5">
    <w:nsid w:val="5CC700C8"/>
    <w:multiLevelType w:val="multilevel"/>
    <w:tmpl w:val="E36C53A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60E16E92"/>
    <w:multiLevelType w:val="multilevel"/>
    <w:tmpl w:val="B546B9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936" w:hanging="936"/>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664F3344"/>
    <w:multiLevelType w:val="hybridMultilevel"/>
    <w:tmpl w:val="FE968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9521C8"/>
    <w:multiLevelType w:val="multilevel"/>
    <w:tmpl w:val="730CFE98"/>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124"/>
        </w:tabs>
        <w:ind w:left="2124" w:hanging="360"/>
      </w:pPr>
      <w:rPr>
        <w:rFonts w:hint="default"/>
      </w:rPr>
    </w:lvl>
    <w:lvl w:ilvl="2">
      <w:start w:val="1"/>
      <w:numFmt w:val="lowerRoman"/>
      <w:lvlText w:val="%3."/>
      <w:lvlJc w:val="right"/>
      <w:pPr>
        <w:tabs>
          <w:tab w:val="num" w:pos="2844"/>
        </w:tabs>
        <w:ind w:left="2844" w:hanging="18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4284"/>
        </w:tabs>
        <w:ind w:left="4284" w:hanging="360"/>
      </w:pPr>
      <w:rPr>
        <w:rFonts w:hint="default"/>
      </w:rPr>
    </w:lvl>
    <w:lvl w:ilvl="5">
      <w:start w:val="1"/>
      <w:numFmt w:val="lowerRoman"/>
      <w:lvlText w:val="%6."/>
      <w:lvlJc w:val="right"/>
      <w:pPr>
        <w:tabs>
          <w:tab w:val="num" w:pos="5004"/>
        </w:tabs>
        <w:ind w:left="5004" w:hanging="180"/>
      </w:pPr>
      <w:rPr>
        <w:rFonts w:hint="default"/>
      </w:rPr>
    </w:lvl>
    <w:lvl w:ilvl="6">
      <w:start w:val="1"/>
      <w:numFmt w:val="decimal"/>
      <w:lvlText w:val="%7."/>
      <w:lvlJc w:val="left"/>
      <w:pPr>
        <w:tabs>
          <w:tab w:val="num" w:pos="5724"/>
        </w:tabs>
        <w:ind w:left="5724" w:hanging="360"/>
      </w:pPr>
      <w:rPr>
        <w:rFonts w:hint="default"/>
      </w:rPr>
    </w:lvl>
    <w:lvl w:ilvl="7">
      <w:start w:val="1"/>
      <w:numFmt w:val="lowerLetter"/>
      <w:lvlText w:val="%8."/>
      <w:lvlJc w:val="left"/>
      <w:pPr>
        <w:tabs>
          <w:tab w:val="num" w:pos="6444"/>
        </w:tabs>
        <w:ind w:left="6444" w:hanging="360"/>
      </w:pPr>
      <w:rPr>
        <w:rFonts w:hint="default"/>
      </w:rPr>
    </w:lvl>
    <w:lvl w:ilvl="8">
      <w:start w:val="1"/>
      <w:numFmt w:val="lowerRoman"/>
      <w:lvlText w:val="%9."/>
      <w:lvlJc w:val="right"/>
      <w:pPr>
        <w:tabs>
          <w:tab w:val="num" w:pos="7164"/>
        </w:tabs>
        <w:ind w:left="7164" w:hanging="180"/>
      </w:pPr>
      <w:rPr>
        <w:rFonts w:hint="default"/>
      </w:rPr>
    </w:lvl>
  </w:abstractNum>
  <w:num w:numId="1">
    <w:abstractNumId w:val="8"/>
  </w:num>
  <w:num w:numId="2">
    <w:abstractNumId w:val="6"/>
  </w:num>
  <w:num w:numId="3">
    <w:abstractNumId w:val="5"/>
  </w:num>
  <w:num w:numId="4">
    <w:abstractNumId w:val="4"/>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43"/>
    <w:rsid w:val="00023385"/>
    <w:rsid w:val="000445BD"/>
    <w:rsid w:val="00074855"/>
    <w:rsid w:val="00127074"/>
    <w:rsid w:val="00130AB1"/>
    <w:rsid w:val="00132146"/>
    <w:rsid w:val="00134D63"/>
    <w:rsid w:val="00154E81"/>
    <w:rsid w:val="001764F5"/>
    <w:rsid w:val="00183984"/>
    <w:rsid w:val="00200CD1"/>
    <w:rsid w:val="00213CF3"/>
    <w:rsid w:val="002402C6"/>
    <w:rsid w:val="00247B22"/>
    <w:rsid w:val="002529D6"/>
    <w:rsid w:val="0025425A"/>
    <w:rsid w:val="002861C2"/>
    <w:rsid w:val="002870E5"/>
    <w:rsid w:val="002A699B"/>
    <w:rsid w:val="002C1CC1"/>
    <w:rsid w:val="002D5165"/>
    <w:rsid w:val="002D6522"/>
    <w:rsid w:val="002E6D97"/>
    <w:rsid w:val="0030000E"/>
    <w:rsid w:val="00356807"/>
    <w:rsid w:val="00387427"/>
    <w:rsid w:val="003A7CD2"/>
    <w:rsid w:val="003B2D9E"/>
    <w:rsid w:val="003E18D2"/>
    <w:rsid w:val="0041000C"/>
    <w:rsid w:val="004117D4"/>
    <w:rsid w:val="004137A9"/>
    <w:rsid w:val="00434CF3"/>
    <w:rsid w:val="00457EC9"/>
    <w:rsid w:val="00467CC6"/>
    <w:rsid w:val="004709F1"/>
    <w:rsid w:val="004A2506"/>
    <w:rsid w:val="0050582B"/>
    <w:rsid w:val="00512905"/>
    <w:rsid w:val="00560214"/>
    <w:rsid w:val="00581CAF"/>
    <w:rsid w:val="005A6084"/>
    <w:rsid w:val="005D0C38"/>
    <w:rsid w:val="005F3C42"/>
    <w:rsid w:val="0061747D"/>
    <w:rsid w:val="0069318C"/>
    <w:rsid w:val="006A09A3"/>
    <w:rsid w:val="006A6B72"/>
    <w:rsid w:val="006C749C"/>
    <w:rsid w:val="006D483A"/>
    <w:rsid w:val="007267F2"/>
    <w:rsid w:val="00761604"/>
    <w:rsid w:val="007D6702"/>
    <w:rsid w:val="007F70B1"/>
    <w:rsid w:val="008023D5"/>
    <w:rsid w:val="0082128B"/>
    <w:rsid w:val="00853AC7"/>
    <w:rsid w:val="00875D97"/>
    <w:rsid w:val="0088073B"/>
    <w:rsid w:val="00883AA7"/>
    <w:rsid w:val="008A1160"/>
    <w:rsid w:val="008F40FF"/>
    <w:rsid w:val="008F7DCB"/>
    <w:rsid w:val="00917678"/>
    <w:rsid w:val="00996943"/>
    <w:rsid w:val="009B1B0B"/>
    <w:rsid w:val="009E1D84"/>
    <w:rsid w:val="00A70B84"/>
    <w:rsid w:val="00AA13E6"/>
    <w:rsid w:val="00AA5FFB"/>
    <w:rsid w:val="00AB5940"/>
    <w:rsid w:val="00AB71EC"/>
    <w:rsid w:val="00AD0091"/>
    <w:rsid w:val="00B03CB8"/>
    <w:rsid w:val="00B424F7"/>
    <w:rsid w:val="00B54293"/>
    <w:rsid w:val="00B56577"/>
    <w:rsid w:val="00B771B6"/>
    <w:rsid w:val="00BE38F5"/>
    <w:rsid w:val="00BF10D8"/>
    <w:rsid w:val="00C033A9"/>
    <w:rsid w:val="00C56008"/>
    <w:rsid w:val="00C73188"/>
    <w:rsid w:val="00C96909"/>
    <w:rsid w:val="00CA376E"/>
    <w:rsid w:val="00CA427E"/>
    <w:rsid w:val="00CF4F27"/>
    <w:rsid w:val="00D15E29"/>
    <w:rsid w:val="00D23941"/>
    <w:rsid w:val="00DA510C"/>
    <w:rsid w:val="00DD44F0"/>
    <w:rsid w:val="00DE27A2"/>
    <w:rsid w:val="00DE4A83"/>
    <w:rsid w:val="00E03E4B"/>
    <w:rsid w:val="00E04056"/>
    <w:rsid w:val="00E75B47"/>
    <w:rsid w:val="00E76E07"/>
    <w:rsid w:val="00E83215"/>
    <w:rsid w:val="00E93422"/>
    <w:rsid w:val="00ED4504"/>
    <w:rsid w:val="00ED508D"/>
    <w:rsid w:val="00EE7C1C"/>
    <w:rsid w:val="00F20E54"/>
    <w:rsid w:val="00F27EC6"/>
    <w:rsid w:val="00F348C9"/>
    <w:rsid w:val="00F433AC"/>
    <w:rsid w:val="00F50CB0"/>
    <w:rsid w:val="00F55206"/>
    <w:rsid w:val="00F60E87"/>
    <w:rsid w:val="00F844F4"/>
    <w:rsid w:val="00FD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BABBA-0B08-4A08-8CAB-E6448D8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07"/>
    <w:pPr>
      <w:overflowPunct w:val="0"/>
      <w:autoSpaceDE w:val="0"/>
      <w:autoSpaceDN w:val="0"/>
      <w:adjustRightInd w:val="0"/>
      <w:spacing w:after="0" w:line="240" w:lineRule="auto"/>
      <w:ind w:firstLine="288"/>
      <w:jc w:val="both"/>
      <w:textAlignment w:val="baseline"/>
    </w:pPr>
    <w:rPr>
      <w:rFonts w:ascii="Times New Roman" w:eastAsia="Times New Roman" w:hAnsi="Times New Roman" w:cs="Times New Roman"/>
      <w:sz w:val="20"/>
      <w:szCs w:val="20"/>
      <w:lang w:val="en-US" w:eastAsia="de-DE"/>
    </w:rPr>
  </w:style>
  <w:style w:type="paragraph" w:styleId="Heading1">
    <w:name w:val="heading 1"/>
    <w:basedOn w:val="Normal"/>
    <w:next w:val="Normal"/>
    <w:link w:val="Heading1Char"/>
    <w:uiPriority w:val="9"/>
    <w:qFormat/>
    <w:rsid w:val="002C1CC1"/>
    <w:pPr>
      <w:keepNext/>
      <w:keepLines/>
      <w:numPr>
        <w:numId w:val="8"/>
      </w:numPr>
      <w:spacing w:before="240"/>
      <w:jc w:val="left"/>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4709F1"/>
    <w:pPr>
      <w:numPr>
        <w:ilvl w:val="1"/>
      </w:numPr>
      <w:outlineLvl w:val="1"/>
    </w:pPr>
    <w:rPr>
      <w:bCs w:val="0"/>
      <w:szCs w:val="26"/>
    </w:rPr>
  </w:style>
  <w:style w:type="paragraph" w:styleId="Heading3">
    <w:name w:val="heading 3"/>
    <w:basedOn w:val="Heading2"/>
    <w:next w:val="Normal"/>
    <w:link w:val="Heading3Char"/>
    <w:uiPriority w:val="9"/>
    <w:unhideWhenUsed/>
    <w:qFormat/>
    <w:rsid w:val="004709F1"/>
    <w:pPr>
      <w:numPr>
        <w:ilvl w:val="2"/>
      </w:numPr>
      <w:outlineLvl w:val="2"/>
    </w:pPr>
    <w:rPr>
      <w:bCs/>
    </w:rPr>
  </w:style>
  <w:style w:type="paragraph" w:styleId="Heading4">
    <w:name w:val="heading 4"/>
    <w:basedOn w:val="Heading3"/>
    <w:next w:val="Normal"/>
    <w:link w:val="Heading4Char"/>
    <w:uiPriority w:val="9"/>
    <w:unhideWhenUsed/>
    <w:qFormat/>
    <w:rsid w:val="004709F1"/>
    <w:pPr>
      <w:numPr>
        <w:ilvl w:val="3"/>
      </w:numPr>
      <w:outlineLvl w:val="3"/>
    </w:pPr>
    <w:rPr>
      <w:bCs w:val="0"/>
      <w:iCs/>
    </w:rPr>
  </w:style>
  <w:style w:type="paragraph" w:styleId="Heading5">
    <w:name w:val="heading 5"/>
    <w:basedOn w:val="Heading4"/>
    <w:next w:val="Normal"/>
    <w:link w:val="Heading5Char"/>
    <w:uiPriority w:val="9"/>
    <w:unhideWhenUsed/>
    <w:qFormat/>
    <w:rsid w:val="00E0405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581CAF"/>
    <w:pPr>
      <w:spacing w:before="240"/>
      <w:ind w:left="562" w:right="562" w:firstLine="0"/>
    </w:pPr>
  </w:style>
  <w:style w:type="paragraph" w:customStyle="1" w:styleId="address">
    <w:name w:val="address"/>
    <w:basedOn w:val="Normal"/>
    <w:rsid w:val="003E18D2"/>
    <w:pPr>
      <w:ind w:firstLine="0"/>
      <w:contextualSpacing/>
      <w:jc w:val="center"/>
    </w:pPr>
    <w:rPr>
      <w:sz w:val="18"/>
    </w:rPr>
  </w:style>
  <w:style w:type="paragraph" w:customStyle="1" w:styleId="author">
    <w:name w:val="author"/>
    <w:basedOn w:val="Normal"/>
    <w:next w:val="address"/>
    <w:rsid w:val="003E18D2"/>
    <w:pPr>
      <w:spacing w:after="120"/>
      <w:ind w:firstLine="0"/>
      <w:jc w:val="center"/>
    </w:pPr>
    <w:rPr>
      <w:b/>
    </w:rPr>
  </w:style>
  <w:style w:type="character" w:customStyle="1" w:styleId="e-mail">
    <w:name w:val="e-mail"/>
    <w:basedOn w:val="DefaultParagraphFont"/>
    <w:rsid w:val="003E18D2"/>
    <w:rPr>
      <w:rFonts w:ascii="Courier" w:hAnsi="Courier"/>
      <w:noProof/>
      <w:sz w:val="18"/>
      <w:lang w:val="en-US"/>
    </w:rPr>
  </w:style>
  <w:style w:type="paragraph" w:customStyle="1" w:styleId="equation">
    <w:name w:val="equation"/>
    <w:basedOn w:val="Normal"/>
    <w:next w:val="Normal"/>
    <w:rsid w:val="00853AC7"/>
    <w:pPr>
      <w:tabs>
        <w:tab w:val="center" w:pos="2246"/>
        <w:tab w:val="right" w:pos="4478"/>
      </w:tabs>
      <w:spacing w:before="120" w:after="120"/>
      <w:ind w:firstLine="0"/>
    </w:pPr>
  </w:style>
  <w:style w:type="paragraph" w:customStyle="1" w:styleId="keywords">
    <w:name w:val="keywords"/>
    <w:basedOn w:val="abstract"/>
    <w:next w:val="Normal"/>
    <w:rsid w:val="00581CAF"/>
    <w:pPr>
      <w:jc w:val="left"/>
    </w:pPr>
  </w:style>
  <w:style w:type="paragraph" w:customStyle="1" w:styleId="p1a">
    <w:name w:val="p1a"/>
    <w:basedOn w:val="Normal"/>
    <w:rsid w:val="00996943"/>
    <w:pPr>
      <w:ind w:firstLine="0"/>
    </w:pPr>
  </w:style>
  <w:style w:type="paragraph" w:customStyle="1" w:styleId="referenceitem">
    <w:name w:val="referenceitem"/>
    <w:basedOn w:val="Normal"/>
    <w:rsid w:val="00996943"/>
    <w:pPr>
      <w:numPr>
        <w:numId w:val="1"/>
      </w:numPr>
      <w:spacing w:line="220" w:lineRule="atLeast"/>
    </w:pPr>
    <w:rPr>
      <w:sz w:val="18"/>
    </w:rPr>
  </w:style>
  <w:style w:type="numbering" w:customStyle="1" w:styleId="referencelist">
    <w:name w:val="referencelist"/>
    <w:basedOn w:val="NoList"/>
    <w:semiHidden/>
    <w:rsid w:val="00996943"/>
    <w:pPr>
      <w:numPr>
        <w:numId w:val="1"/>
      </w:numPr>
    </w:pPr>
  </w:style>
  <w:style w:type="paragraph" w:customStyle="1" w:styleId="papertitle">
    <w:name w:val="papertitle"/>
    <w:basedOn w:val="Normal"/>
    <w:next w:val="author"/>
    <w:rsid w:val="003E18D2"/>
    <w:pPr>
      <w:keepNext/>
      <w:keepLines/>
      <w:suppressAutoHyphens/>
      <w:spacing w:after="360"/>
      <w:ind w:firstLine="0"/>
      <w:jc w:val="center"/>
    </w:pPr>
    <w:rPr>
      <w:b/>
      <w:sz w:val="28"/>
    </w:rPr>
  </w:style>
  <w:style w:type="paragraph" w:styleId="ListParagraph">
    <w:name w:val="List Paragraph"/>
    <w:basedOn w:val="Normal"/>
    <w:uiPriority w:val="34"/>
    <w:qFormat/>
    <w:rsid w:val="00996943"/>
    <w:pPr>
      <w:ind w:left="720"/>
      <w:contextualSpacing/>
    </w:pPr>
  </w:style>
  <w:style w:type="paragraph" w:customStyle="1" w:styleId="Default">
    <w:name w:val="Default"/>
    <w:rsid w:val="008F40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30AB1"/>
    <w:rPr>
      <w:color w:val="0000FF" w:themeColor="hyperlink"/>
      <w:u w:val="single"/>
    </w:rPr>
  </w:style>
  <w:style w:type="paragraph" w:styleId="BalloonText">
    <w:name w:val="Balloon Text"/>
    <w:basedOn w:val="Normal"/>
    <w:link w:val="BalloonTextChar"/>
    <w:uiPriority w:val="99"/>
    <w:semiHidden/>
    <w:unhideWhenUsed/>
    <w:rsid w:val="00E76E07"/>
    <w:rPr>
      <w:rFonts w:ascii="Tahoma" w:hAnsi="Tahoma" w:cs="Tahoma"/>
      <w:sz w:val="16"/>
      <w:szCs w:val="16"/>
    </w:rPr>
  </w:style>
  <w:style w:type="character" w:customStyle="1" w:styleId="BalloonTextChar">
    <w:name w:val="Balloon Text Char"/>
    <w:basedOn w:val="DefaultParagraphFont"/>
    <w:link w:val="BalloonText"/>
    <w:uiPriority w:val="99"/>
    <w:semiHidden/>
    <w:rsid w:val="00E76E07"/>
    <w:rPr>
      <w:rFonts w:ascii="Tahoma" w:eastAsia="Times New Roman" w:hAnsi="Tahoma" w:cs="Tahoma"/>
      <w:sz w:val="16"/>
      <w:szCs w:val="16"/>
      <w:lang w:val="en-US" w:eastAsia="de-DE"/>
    </w:rPr>
  </w:style>
  <w:style w:type="character" w:customStyle="1" w:styleId="Heading1Char">
    <w:name w:val="Heading 1 Char"/>
    <w:basedOn w:val="DefaultParagraphFont"/>
    <w:link w:val="Heading1"/>
    <w:uiPriority w:val="9"/>
    <w:rsid w:val="002C1CC1"/>
    <w:rPr>
      <w:rFonts w:ascii="Times New Roman" w:eastAsiaTheme="majorEastAsia" w:hAnsi="Times New Roman" w:cstheme="majorBidi"/>
      <w:b/>
      <w:bCs/>
      <w:sz w:val="20"/>
      <w:szCs w:val="28"/>
      <w:lang w:val="en-US" w:eastAsia="de-DE"/>
    </w:rPr>
  </w:style>
  <w:style w:type="character" w:customStyle="1" w:styleId="Heading2Char">
    <w:name w:val="Heading 2 Char"/>
    <w:basedOn w:val="DefaultParagraphFont"/>
    <w:link w:val="Heading2"/>
    <w:uiPriority w:val="9"/>
    <w:rsid w:val="004709F1"/>
    <w:rPr>
      <w:rFonts w:ascii="Times New Roman" w:eastAsiaTheme="majorEastAsia" w:hAnsi="Times New Roman" w:cstheme="majorBidi"/>
      <w:b/>
      <w:sz w:val="20"/>
      <w:szCs w:val="26"/>
      <w:lang w:val="en-US" w:eastAsia="de-DE"/>
    </w:rPr>
  </w:style>
  <w:style w:type="character" w:customStyle="1" w:styleId="Heading3Char">
    <w:name w:val="Heading 3 Char"/>
    <w:basedOn w:val="DefaultParagraphFont"/>
    <w:link w:val="Heading3"/>
    <w:uiPriority w:val="9"/>
    <w:rsid w:val="004709F1"/>
    <w:rPr>
      <w:rFonts w:ascii="Times New Roman" w:eastAsiaTheme="majorEastAsia" w:hAnsi="Times New Roman" w:cstheme="majorBidi"/>
      <w:b/>
      <w:bCs/>
      <w:sz w:val="20"/>
      <w:szCs w:val="26"/>
      <w:lang w:val="en-US" w:eastAsia="de-DE"/>
    </w:rPr>
  </w:style>
  <w:style w:type="character" w:customStyle="1" w:styleId="Heading4Char">
    <w:name w:val="Heading 4 Char"/>
    <w:basedOn w:val="DefaultParagraphFont"/>
    <w:link w:val="Heading4"/>
    <w:uiPriority w:val="9"/>
    <w:rsid w:val="004709F1"/>
    <w:rPr>
      <w:rFonts w:ascii="Times New Roman" w:eastAsiaTheme="majorEastAsia" w:hAnsi="Times New Roman" w:cstheme="majorBidi"/>
      <w:b/>
      <w:iCs/>
      <w:sz w:val="20"/>
      <w:szCs w:val="26"/>
      <w:lang w:val="en-US" w:eastAsia="de-DE"/>
    </w:rPr>
  </w:style>
  <w:style w:type="paragraph" w:styleId="Caption">
    <w:name w:val="caption"/>
    <w:basedOn w:val="p1a"/>
    <w:next w:val="Normal"/>
    <w:uiPriority w:val="35"/>
    <w:unhideWhenUsed/>
    <w:qFormat/>
    <w:rsid w:val="0041000C"/>
    <w:pPr>
      <w:spacing w:before="120" w:after="120"/>
      <w:jc w:val="center"/>
    </w:pPr>
    <w:rPr>
      <w:bCs/>
      <w:szCs w:val="18"/>
    </w:rPr>
  </w:style>
  <w:style w:type="character" w:customStyle="1" w:styleId="Heading5Char">
    <w:name w:val="Heading 5 Char"/>
    <w:basedOn w:val="DefaultParagraphFont"/>
    <w:link w:val="Heading5"/>
    <w:uiPriority w:val="9"/>
    <w:rsid w:val="00E04056"/>
    <w:rPr>
      <w:rFonts w:ascii="Times New Roman" w:eastAsiaTheme="majorEastAsia" w:hAnsi="Times New Roman" w:cstheme="majorBidi"/>
      <w:b/>
      <w:iCs/>
      <w:sz w:val="20"/>
      <w:szCs w:val="26"/>
      <w:lang w:val="en-US" w:eastAsia="de-DE"/>
    </w:rPr>
  </w:style>
  <w:style w:type="paragraph" w:styleId="Header">
    <w:name w:val="header"/>
    <w:basedOn w:val="Normal"/>
    <w:link w:val="HeaderChar"/>
    <w:unhideWhenUsed/>
    <w:rsid w:val="00356807"/>
    <w:pPr>
      <w:tabs>
        <w:tab w:val="center" w:pos="4680"/>
        <w:tab w:val="right" w:pos="9360"/>
      </w:tabs>
      <w:ind w:firstLine="0"/>
    </w:pPr>
    <w:rPr>
      <w:sz w:val="16"/>
    </w:rPr>
  </w:style>
  <w:style w:type="character" w:customStyle="1" w:styleId="HeaderChar">
    <w:name w:val="Header Char"/>
    <w:basedOn w:val="DefaultParagraphFont"/>
    <w:link w:val="Header"/>
    <w:rsid w:val="00356807"/>
    <w:rPr>
      <w:rFonts w:ascii="Times New Roman" w:eastAsia="Times New Roman" w:hAnsi="Times New Roman" w:cs="Times New Roman"/>
      <w:sz w:val="16"/>
      <w:szCs w:val="20"/>
      <w:lang w:val="en-US" w:eastAsia="de-DE"/>
    </w:rPr>
  </w:style>
  <w:style w:type="paragraph" w:styleId="Footer">
    <w:name w:val="footer"/>
    <w:basedOn w:val="Normal"/>
    <w:link w:val="FooterChar"/>
    <w:uiPriority w:val="99"/>
    <w:unhideWhenUsed/>
    <w:rsid w:val="00356807"/>
    <w:pPr>
      <w:tabs>
        <w:tab w:val="center" w:pos="4680"/>
        <w:tab w:val="right" w:pos="9360"/>
      </w:tabs>
      <w:ind w:firstLine="0"/>
    </w:pPr>
  </w:style>
  <w:style w:type="character" w:customStyle="1" w:styleId="FooterChar">
    <w:name w:val="Footer Char"/>
    <w:basedOn w:val="DefaultParagraphFont"/>
    <w:link w:val="Footer"/>
    <w:uiPriority w:val="99"/>
    <w:rsid w:val="00356807"/>
    <w:rPr>
      <w:rFonts w:ascii="Times New Roman" w:eastAsia="Times New Roman" w:hAnsi="Times New Roman" w:cs="Times New Roman"/>
      <w:sz w:val="20"/>
      <w:szCs w:val="20"/>
      <w:lang w:val="en-US" w:eastAsia="de-DE"/>
    </w:rPr>
  </w:style>
  <w:style w:type="character" w:styleId="Strong">
    <w:name w:val="Strong"/>
    <w:basedOn w:val="DefaultParagraphFont"/>
    <w:uiPriority w:val="22"/>
    <w:qFormat/>
    <w:rsid w:val="008F7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2" Type="http://schemas.openxmlformats.org/officeDocument/2006/relationships/hyperlink" Target="file:///C:\Users\user\AppData\Local\Temp\publication.petra.ac.id\index.php\ACESA"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257190161356415"/>
          <c:y val="0.10344827586206902"/>
          <c:w val="0.63030582411375791"/>
          <c:h val="0.61379310344827875"/>
        </c:manualLayout>
      </c:layout>
      <c:scatterChart>
        <c:scatterStyle val="lineMarker"/>
        <c:varyColors val="0"/>
        <c:ser>
          <c:idx val="0"/>
          <c:order val="0"/>
          <c:tx>
            <c:strRef>
              <c:f>Sheet1!$U$12</c:f>
              <c:strCache>
                <c:ptCount val="1"/>
                <c:pt idx="0">
                  <c:v>Current/A</c:v>
                </c:pt>
              </c:strCache>
            </c:strRef>
          </c:tx>
          <c:spPr>
            <a:ln w="11077">
              <a:solidFill>
                <a:srgbClr val="63AAFE"/>
              </a:solidFill>
              <a:prstDash val="solid"/>
            </a:ln>
          </c:spPr>
          <c:marker>
            <c:symbol val="diamond"/>
            <c:size val="4"/>
            <c:spPr>
              <a:solidFill>
                <a:srgbClr val="000000"/>
              </a:solidFill>
              <a:ln>
                <a:solidFill>
                  <a:srgbClr val="000000"/>
                </a:solidFill>
                <a:prstDash val="solid"/>
              </a:ln>
            </c:spPr>
          </c:marker>
          <c:xVal>
            <c:numRef>
              <c:f>Sheet1!$T$13:$T$113</c:f>
              <c:numCache>
                <c:formatCode>0.00E+00</c:formatCode>
                <c:ptCount val="101"/>
                <c:pt idx="0">
                  <c:v>-0.5</c:v>
                </c:pt>
                <c:pt idx="1">
                  <c:v>-0.39500000000000091</c:v>
                </c:pt>
                <c:pt idx="2">
                  <c:v>-0.29000000000000031</c:v>
                </c:pt>
                <c:pt idx="3">
                  <c:v>-0.18500000000000033</c:v>
                </c:pt>
                <c:pt idx="4">
                  <c:v>-8.0000000000000085E-2</c:v>
                </c:pt>
                <c:pt idx="5">
                  <c:v>2.5000000000000015E-2</c:v>
                </c:pt>
                <c:pt idx="6">
                  <c:v>0.13</c:v>
                </c:pt>
                <c:pt idx="7">
                  <c:v>0.23500000000000001</c:v>
                </c:pt>
                <c:pt idx="8">
                  <c:v>0.34000000000000019</c:v>
                </c:pt>
                <c:pt idx="9">
                  <c:v>0.44500000000000012</c:v>
                </c:pt>
                <c:pt idx="10">
                  <c:v>0.55000000000000004</c:v>
                </c:pt>
                <c:pt idx="11">
                  <c:v>0.6550000000000018</c:v>
                </c:pt>
                <c:pt idx="12">
                  <c:v>0.76000000000000145</c:v>
                </c:pt>
                <c:pt idx="13">
                  <c:v>0.86500000000000132</c:v>
                </c:pt>
                <c:pt idx="14">
                  <c:v>0.97000000000000064</c:v>
                </c:pt>
                <c:pt idx="15">
                  <c:v>1.075</c:v>
                </c:pt>
                <c:pt idx="16">
                  <c:v>1.1800000000000026</c:v>
                </c:pt>
                <c:pt idx="17">
                  <c:v>1.284999999999997</c:v>
                </c:pt>
                <c:pt idx="18">
                  <c:v>1.3900000000000001</c:v>
                </c:pt>
                <c:pt idx="19">
                  <c:v>1.4949999999999972</c:v>
                </c:pt>
                <c:pt idx="20">
                  <c:v>1.6</c:v>
                </c:pt>
                <c:pt idx="21">
                  <c:v>1.7049999999999974</c:v>
                </c:pt>
                <c:pt idx="22">
                  <c:v>1.81</c:v>
                </c:pt>
                <c:pt idx="23">
                  <c:v>1.9149999999999996</c:v>
                </c:pt>
                <c:pt idx="24">
                  <c:v>2.02</c:v>
                </c:pt>
                <c:pt idx="25">
                  <c:v>2.125</c:v>
                </c:pt>
                <c:pt idx="26">
                  <c:v>2.23</c:v>
                </c:pt>
                <c:pt idx="27">
                  <c:v>2.3349999999999977</c:v>
                </c:pt>
                <c:pt idx="28">
                  <c:v>2.44</c:v>
                </c:pt>
                <c:pt idx="29">
                  <c:v>2.5449999999999999</c:v>
                </c:pt>
                <c:pt idx="30">
                  <c:v>2.65</c:v>
                </c:pt>
                <c:pt idx="31">
                  <c:v>2.7549999999999999</c:v>
                </c:pt>
                <c:pt idx="32">
                  <c:v>2.86</c:v>
                </c:pt>
                <c:pt idx="33">
                  <c:v>2.9649999999999999</c:v>
                </c:pt>
                <c:pt idx="34">
                  <c:v>3.07</c:v>
                </c:pt>
                <c:pt idx="35">
                  <c:v>3.1749999999999998</c:v>
                </c:pt>
                <c:pt idx="36">
                  <c:v>3.2800000000000002</c:v>
                </c:pt>
                <c:pt idx="37">
                  <c:v>3.3849999999999998</c:v>
                </c:pt>
                <c:pt idx="38">
                  <c:v>3.4899999999999998</c:v>
                </c:pt>
                <c:pt idx="39">
                  <c:v>3.5949999999999998</c:v>
                </c:pt>
                <c:pt idx="40">
                  <c:v>3.7</c:v>
                </c:pt>
                <c:pt idx="41">
                  <c:v>3.8049999999999997</c:v>
                </c:pt>
                <c:pt idx="42">
                  <c:v>3.9099999999999997</c:v>
                </c:pt>
                <c:pt idx="43">
                  <c:v>4.014999999999989</c:v>
                </c:pt>
                <c:pt idx="44">
                  <c:v>4.1199999999999966</c:v>
                </c:pt>
                <c:pt idx="45">
                  <c:v>4.2249999999999881</c:v>
                </c:pt>
                <c:pt idx="46">
                  <c:v>4.33</c:v>
                </c:pt>
                <c:pt idx="47">
                  <c:v>4.4349999999999996</c:v>
                </c:pt>
                <c:pt idx="48">
                  <c:v>4.54</c:v>
                </c:pt>
                <c:pt idx="49">
                  <c:v>4.644999999999988</c:v>
                </c:pt>
                <c:pt idx="50">
                  <c:v>4.75</c:v>
                </c:pt>
                <c:pt idx="51">
                  <c:v>4.8549999999999889</c:v>
                </c:pt>
                <c:pt idx="52">
                  <c:v>4.96</c:v>
                </c:pt>
                <c:pt idx="53">
                  <c:v>5.0649999999999888</c:v>
                </c:pt>
                <c:pt idx="54">
                  <c:v>5.17</c:v>
                </c:pt>
                <c:pt idx="55">
                  <c:v>5.2750000000000004</c:v>
                </c:pt>
                <c:pt idx="56">
                  <c:v>5.38</c:v>
                </c:pt>
                <c:pt idx="57">
                  <c:v>5.4850000000000003</c:v>
                </c:pt>
                <c:pt idx="58">
                  <c:v>5.59</c:v>
                </c:pt>
                <c:pt idx="59">
                  <c:v>5.694999999999987</c:v>
                </c:pt>
                <c:pt idx="60">
                  <c:v>5.8</c:v>
                </c:pt>
                <c:pt idx="61">
                  <c:v>5.9050000000000002</c:v>
                </c:pt>
                <c:pt idx="62">
                  <c:v>6.01</c:v>
                </c:pt>
                <c:pt idx="63">
                  <c:v>6.1149999999999869</c:v>
                </c:pt>
                <c:pt idx="64">
                  <c:v>6.22</c:v>
                </c:pt>
                <c:pt idx="65">
                  <c:v>6.3249999999999869</c:v>
                </c:pt>
                <c:pt idx="66">
                  <c:v>6.4300000000000024</c:v>
                </c:pt>
                <c:pt idx="67">
                  <c:v>6.5350000000000001</c:v>
                </c:pt>
                <c:pt idx="68">
                  <c:v>6.64</c:v>
                </c:pt>
                <c:pt idx="69">
                  <c:v>6.7450000000000001</c:v>
                </c:pt>
                <c:pt idx="70">
                  <c:v>6.85</c:v>
                </c:pt>
                <c:pt idx="71">
                  <c:v>6.9550000000000001</c:v>
                </c:pt>
                <c:pt idx="72">
                  <c:v>7.06</c:v>
                </c:pt>
                <c:pt idx="73">
                  <c:v>7.1649999999999849</c:v>
                </c:pt>
                <c:pt idx="74">
                  <c:v>7.2700000000000014</c:v>
                </c:pt>
                <c:pt idx="75">
                  <c:v>7.375</c:v>
                </c:pt>
                <c:pt idx="76">
                  <c:v>7.48</c:v>
                </c:pt>
                <c:pt idx="77">
                  <c:v>7.585</c:v>
                </c:pt>
                <c:pt idx="78">
                  <c:v>7.6899999999999995</c:v>
                </c:pt>
                <c:pt idx="79">
                  <c:v>7.7949999999999955</c:v>
                </c:pt>
                <c:pt idx="80">
                  <c:v>7.9</c:v>
                </c:pt>
                <c:pt idx="81">
                  <c:v>8.0050000000000008</c:v>
                </c:pt>
                <c:pt idx="82">
                  <c:v>8.11</c:v>
                </c:pt>
                <c:pt idx="83">
                  <c:v>8.2150000000000016</c:v>
                </c:pt>
                <c:pt idx="84">
                  <c:v>8.32</c:v>
                </c:pt>
                <c:pt idx="85">
                  <c:v>8.4250000000000007</c:v>
                </c:pt>
                <c:pt idx="86">
                  <c:v>8.5300000000000011</c:v>
                </c:pt>
                <c:pt idx="87">
                  <c:v>8.6349999999999998</c:v>
                </c:pt>
                <c:pt idx="88">
                  <c:v>8.74</c:v>
                </c:pt>
                <c:pt idx="89">
                  <c:v>8.8450000000000006</c:v>
                </c:pt>
                <c:pt idx="90">
                  <c:v>8.9500000000000028</c:v>
                </c:pt>
                <c:pt idx="91">
                  <c:v>9.0550000000000068</c:v>
                </c:pt>
                <c:pt idx="92">
                  <c:v>9.16</c:v>
                </c:pt>
                <c:pt idx="93">
                  <c:v>9.2650000000000006</c:v>
                </c:pt>
                <c:pt idx="94">
                  <c:v>9.3700000000000028</c:v>
                </c:pt>
                <c:pt idx="95">
                  <c:v>9.4750000000000068</c:v>
                </c:pt>
                <c:pt idx="96">
                  <c:v>9.58</c:v>
                </c:pt>
                <c:pt idx="97">
                  <c:v>9.6850000000000005</c:v>
                </c:pt>
                <c:pt idx="98">
                  <c:v>9.7900000000000009</c:v>
                </c:pt>
                <c:pt idx="99">
                  <c:v>9.8950000000000067</c:v>
                </c:pt>
                <c:pt idx="100">
                  <c:v>10</c:v>
                </c:pt>
              </c:numCache>
            </c:numRef>
          </c:xVal>
          <c:yVal>
            <c:numRef>
              <c:f>Sheet1!$U$13:$U$113</c:f>
              <c:numCache>
                <c:formatCode>0.00E+00</c:formatCode>
                <c:ptCount val="101"/>
                <c:pt idx="0">
                  <c:v>-2.1454000000000105E-7</c:v>
                </c:pt>
                <c:pt idx="1">
                  <c:v>-1.2466000000000054E-7</c:v>
                </c:pt>
                <c:pt idx="2">
                  <c:v>-6.9080000000000417E-8</c:v>
                </c:pt>
                <c:pt idx="3">
                  <c:v>-2.836300000000012E-8</c:v>
                </c:pt>
                <c:pt idx="4">
                  <c:v>-4.3522000000000206E-9</c:v>
                </c:pt>
                <c:pt idx="5">
                  <c:v>1.000300000000005E-8</c:v>
                </c:pt>
                <c:pt idx="6">
                  <c:v>3.2085000000000224E-8</c:v>
                </c:pt>
                <c:pt idx="7">
                  <c:v>5.98560000000004E-8</c:v>
                </c:pt>
                <c:pt idx="8">
                  <c:v>9.9060000000000597E-8</c:v>
                </c:pt>
                <c:pt idx="9">
                  <c:v>1.6281000000000097E-7</c:v>
                </c:pt>
                <c:pt idx="10">
                  <c:v>2.3303000000000092E-7</c:v>
                </c:pt>
                <c:pt idx="11">
                  <c:v>3.5600000000000181E-7</c:v>
                </c:pt>
                <c:pt idx="12">
                  <c:v>4.8781000000000209E-7</c:v>
                </c:pt>
                <c:pt idx="13">
                  <c:v>6.6295000000000216E-7</c:v>
                </c:pt>
                <c:pt idx="14">
                  <c:v>8.1920000000000374E-7</c:v>
                </c:pt>
                <c:pt idx="15">
                  <c:v>1.0384000000000041E-6</c:v>
                </c:pt>
                <c:pt idx="16">
                  <c:v>1.2079999999999999E-6</c:v>
                </c:pt>
                <c:pt idx="17">
                  <c:v>1.7306000000000066E-6</c:v>
                </c:pt>
                <c:pt idx="18">
                  <c:v>2.0664000000000062E-6</c:v>
                </c:pt>
                <c:pt idx="19">
                  <c:v>2.8300000000000076E-6</c:v>
                </c:pt>
                <c:pt idx="20">
                  <c:v>3.7080000000000185E-6</c:v>
                </c:pt>
                <c:pt idx="21">
                  <c:v>3.1874000000000171E-6</c:v>
                </c:pt>
                <c:pt idx="22">
                  <c:v>5.1348000000000114E-6</c:v>
                </c:pt>
                <c:pt idx="23">
                  <c:v>6.6363000000000308E-6</c:v>
                </c:pt>
                <c:pt idx="24">
                  <c:v>8.4564000000000602E-6</c:v>
                </c:pt>
                <c:pt idx="25">
                  <c:v>1.0430000000000034E-5</c:v>
                </c:pt>
                <c:pt idx="26">
                  <c:v>1.3992000000000053E-5</c:v>
                </c:pt>
                <c:pt idx="27">
                  <c:v>2.0765000000000015E-5</c:v>
                </c:pt>
                <c:pt idx="28">
                  <c:v>2.3062000000000021E-5</c:v>
                </c:pt>
                <c:pt idx="29">
                  <c:v>2.8361000000000022E-5</c:v>
                </c:pt>
                <c:pt idx="30">
                  <c:v>3.0573000000000149E-5</c:v>
                </c:pt>
                <c:pt idx="31">
                  <c:v>5.4807000000000277E-5</c:v>
                </c:pt>
                <c:pt idx="32">
                  <c:v>7.5582000000000307E-5</c:v>
                </c:pt>
                <c:pt idx="33">
                  <c:v>1.1457000000000024E-4</c:v>
                </c:pt>
                <c:pt idx="34">
                  <c:v>4.4878000000000135E-5</c:v>
                </c:pt>
                <c:pt idx="35">
                  <c:v>6.8316000000000354E-5</c:v>
                </c:pt>
                <c:pt idx="36">
                  <c:v>1.1412000000000034E-4</c:v>
                </c:pt>
                <c:pt idx="37">
                  <c:v>1.3725000000000049E-4</c:v>
                </c:pt>
                <c:pt idx="38">
                  <c:v>1.2720000000000044E-4</c:v>
                </c:pt>
                <c:pt idx="39">
                  <c:v>1.3857000000000027E-4</c:v>
                </c:pt>
                <c:pt idx="40">
                  <c:v>1.5378000000000025E-4</c:v>
                </c:pt>
                <c:pt idx="41">
                  <c:v>1.5912000000000044E-4</c:v>
                </c:pt>
                <c:pt idx="42">
                  <c:v>1.7220000000000058E-4</c:v>
                </c:pt>
                <c:pt idx="43">
                  <c:v>1.8300000000000068E-4</c:v>
                </c:pt>
                <c:pt idx="44">
                  <c:v>1.9218000000000043E-4</c:v>
                </c:pt>
                <c:pt idx="45">
                  <c:v>2.3877000000000083E-4</c:v>
                </c:pt>
                <c:pt idx="46">
                  <c:v>2.4107000000000048E-4</c:v>
                </c:pt>
                <c:pt idx="47">
                  <c:v>2.7510000000000067E-4</c:v>
                </c:pt>
                <c:pt idx="48">
                  <c:v>3.0138000000000067E-4</c:v>
                </c:pt>
                <c:pt idx="49">
                  <c:v>3.0891000000000116E-4</c:v>
                </c:pt>
                <c:pt idx="50">
                  <c:v>2.9738000000000052E-4</c:v>
                </c:pt>
                <c:pt idx="51">
                  <c:v>2.7747000000000101E-4</c:v>
                </c:pt>
                <c:pt idx="52">
                  <c:v>2.5132000000000062E-4</c:v>
                </c:pt>
                <c:pt idx="53">
                  <c:v>2.3271000000000096E-4</c:v>
                </c:pt>
                <c:pt idx="54">
                  <c:v>1.8030000000000048E-4</c:v>
                </c:pt>
                <c:pt idx="55">
                  <c:v>1.7598000000000039E-4</c:v>
                </c:pt>
                <c:pt idx="56">
                  <c:v>2.1116000000000011E-4</c:v>
                </c:pt>
                <c:pt idx="57">
                  <c:v>2.4010000000000052E-4</c:v>
                </c:pt>
                <c:pt idx="58">
                  <c:v>3.1833000000000165E-4</c:v>
                </c:pt>
                <c:pt idx="59">
                  <c:v>4.2596000000000192E-4</c:v>
                </c:pt>
                <c:pt idx="60">
                  <c:v>5.8086000000000173E-4</c:v>
                </c:pt>
                <c:pt idx="61">
                  <c:v>7.3544000000000094E-4</c:v>
                </c:pt>
                <c:pt idx="62">
                  <c:v>9.7006000000000089E-4</c:v>
                </c:pt>
                <c:pt idx="63">
                  <c:v>1.1969000000000036E-3</c:v>
                </c:pt>
                <c:pt idx="64">
                  <c:v>1.4549000000000005E-3</c:v>
                </c:pt>
                <c:pt idx="65">
                  <c:v>1.8275000000000003E-3</c:v>
                </c:pt>
                <c:pt idx="66">
                  <c:v>2.2997000000000052E-3</c:v>
                </c:pt>
                <c:pt idx="67">
                  <c:v>2.8793000000000052E-3</c:v>
                </c:pt>
                <c:pt idx="68">
                  <c:v>3.430400000000001E-3</c:v>
                </c:pt>
                <c:pt idx="69">
                  <c:v>4.0634000000000017E-3</c:v>
                </c:pt>
                <c:pt idx="70">
                  <c:v>4.6311000000000034E-3</c:v>
                </c:pt>
                <c:pt idx="71">
                  <c:v>5.1920000000000004E-3</c:v>
                </c:pt>
                <c:pt idx="72">
                  <c:v>5.6908000000000019E-3</c:v>
                </c:pt>
                <c:pt idx="73">
                  <c:v>6.2064000000000173E-3</c:v>
                </c:pt>
                <c:pt idx="74">
                  <c:v>6.7629000000000014E-3</c:v>
                </c:pt>
                <c:pt idx="75">
                  <c:v>7.2573000000000134E-3</c:v>
                </c:pt>
                <c:pt idx="76">
                  <c:v>7.8070000000000032E-3</c:v>
                </c:pt>
                <c:pt idx="77">
                  <c:v>8.4110000000000209E-3</c:v>
                </c:pt>
                <c:pt idx="78">
                  <c:v>8.9949000000000192E-3</c:v>
                </c:pt>
                <c:pt idx="79">
                  <c:v>9.6299000000000037E-3</c:v>
                </c:pt>
                <c:pt idx="80">
                  <c:v>1.0106000000000006E-2</c:v>
                </c:pt>
                <c:pt idx="81">
                  <c:v>1.0834000000000003E-2</c:v>
                </c:pt>
                <c:pt idx="82">
                  <c:v>1.1410999999999999E-2</c:v>
                </c:pt>
                <c:pt idx="83">
                  <c:v>1.1833000000000024E-2</c:v>
                </c:pt>
                <c:pt idx="84">
                  <c:v>1.2324000000000003E-2</c:v>
                </c:pt>
                <c:pt idx="85">
                  <c:v>1.2666999999999998E-2</c:v>
                </c:pt>
                <c:pt idx="86">
                  <c:v>1.3158E-2</c:v>
                </c:pt>
                <c:pt idx="87">
                  <c:v>1.3663000000000031E-2</c:v>
                </c:pt>
                <c:pt idx="88">
                  <c:v>1.4043999999999996E-2</c:v>
                </c:pt>
                <c:pt idx="89">
                  <c:v>1.4440000000000001E-2</c:v>
                </c:pt>
                <c:pt idx="90">
                  <c:v>1.5028000000000001E-2</c:v>
                </c:pt>
                <c:pt idx="91">
                  <c:v>1.5203000000000006E-2</c:v>
                </c:pt>
                <c:pt idx="92">
                  <c:v>1.5525000000000023E-2</c:v>
                </c:pt>
                <c:pt idx="93">
                  <c:v>1.626500000000004E-2</c:v>
                </c:pt>
                <c:pt idx="94">
                  <c:v>1.6246000000000028E-2</c:v>
                </c:pt>
                <c:pt idx="95">
                  <c:v>1.6243000000000028E-2</c:v>
                </c:pt>
                <c:pt idx="96">
                  <c:v>1.6641000000000045E-2</c:v>
                </c:pt>
                <c:pt idx="97">
                  <c:v>1.7287000000000011E-2</c:v>
                </c:pt>
                <c:pt idx="98">
                  <c:v>1.8491000000000014E-2</c:v>
                </c:pt>
                <c:pt idx="99">
                  <c:v>1.8282000000000038E-2</c:v>
                </c:pt>
                <c:pt idx="100">
                  <c:v>1.7930000000000008E-2</c:v>
                </c:pt>
              </c:numCache>
            </c:numRef>
          </c:yVal>
          <c:smooth val="0"/>
        </c:ser>
        <c:dLbls>
          <c:showLegendKey val="0"/>
          <c:showVal val="0"/>
          <c:showCatName val="0"/>
          <c:showSerName val="0"/>
          <c:showPercent val="0"/>
          <c:showBubbleSize val="0"/>
        </c:dLbls>
        <c:axId val="171184768"/>
        <c:axId val="171185160"/>
      </c:scatterChart>
      <c:valAx>
        <c:axId val="171184768"/>
        <c:scaling>
          <c:orientation val="minMax"/>
          <c:max val="11"/>
          <c:min val="0"/>
        </c:scaling>
        <c:delete val="0"/>
        <c:axPos val="b"/>
        <c:title>
          <c:tx>
            <c:rich>
              <a:bodyPr/>
              <a:lstStyle/>
              <a:p>
                <a:pPr>
                  <a:defRPr sz="1000" b="1" i="0" u="none" strike="noStrike" baseline="0">
                    <a:solidFill>
                      <a:srgbClr val="000000"/>
                    </a:solidFill>
                    <a:latin typeface="Arial"/>
                    <a:ea typeface="Arial"/>
                    <a:cs typeface="Arial"/>
                  </a:defRPr>
                </a:pPr>
                <a:r>
                  <a:rPr lang="id-ID" sz="1000" b="0"/>
                  <a:t>Voltage (</a:t>
                </a:r>
                <a:r>
                  <a:rPr lang="id-ID" sz="1000" b="0" i="1"/>
                  <a:t>V</a:t>
                </a:r>
                <a:r>
                  <a:rPr lang="id-ID" sz="1000" b="0"/>
                  <a:t>)</a:t>
                </a:r>
              </a:p>
            </c:rich>
          </c:tx>
          <c:layout>
            <c:manualLayout>
              <c:xMode val="edge"/>
              <c:yMode val="edge"/>
              <c:x val="0.48920872356136541"/>
              <c:y val="0.84137942650217024"/>
            </c:manualLayout>
          </c:layout>
          <c:overlay val="0"/>
          <c:spPr>
            <a:noFill/>
            <a:ln w="22135">
              <a:noFill/>
            </a:ln>
          </c:spPr>
        </c:title>
        <c:numFmt formatCode="0.00E+00" sourceLinked="1"/>
        <c:majorTickMark val="out"/>
        <c:minorTickMark val="none"/>
        <c:tickLblPos val="nextTo"/>
        <c:spPr>
          <a:ln w="277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1185160"/>
        <c:crosses val="autoZero"/>
        <c:crossBetween val="midCat"/>
        <c:majorUnit val="3.5"/>
      </c:valAx>
      <c:valAx>
        <c:axId val="171185160"/>
        <c:scaling>
          <c:orientation val="minMax"/>
          <c:min val="0"/>
        </c:scaling>
        <c:delete val="0"/>
        <c:axPos val="l"/>
        <c:title>
          <c:tx>
            <c:rich>
              <a:bodyPr/>
              <a:lstStyle/>
              <a:p>
                <a:pPr>
                  <a:defRPr sz="1000" b="1" i="0" u="none" strike="noStrike" baseline="0">
                    <a:solidFill>
                      <a:srgbClr val="000000"/>
                    </a:solidFill>
                    <a:latin typeface="Arial"/>
                    <a:ea typeface="Arial"/>
                    <a:cs typeface="Arial"/>
                  </a:defRPr>
                </a:pPr>
                <a:r>
                  <a:rPr lang="id-ID" sz="1000" b="0"/>
                  <a:t>Current</a:t>
                </a:r>
                <a:r>
                  <a:rPr lang="id-ID" sz="1000"/>
                  <a:t> </a:t>
                </a:r>
                <a:r>
                  <a:rPr lang="id-ID" sz="1000" b="0"/>
                  <a:t>(</a:t>
                </a:r>
                <a:r>
                  <a:rPr lang="id-ID" sz="1000" b="0" i="1"/>
                  <a:t>A</a:t>
                </a:r>
                <a:r>
                  <a:rPr lang="id-ID" sz="1000" b="0"/>
                  <a:t>)</a:t>
                </a:r>
              </a:p>
            </c:rich>
          </c:tx>
          <c:layout>
            <c:manualLayout>
              <c:xMode val="edge"/>
              <c:yMode val="edge"/>
              <c:x val="3.2373975537180508E-2"/>
              <c:y val="0.24827599758586383"/>
            </c:manualLayout>
          </c:layout>
          <c:overlay val="0"/>
          <c:spPr>
            <a:noFill/>
            <a:ln w="22135">
              <a:noFill/>
            </a:ln>
          </c:spPr>
        </c:title>
        <c:numFmt formatCode="0.00E+00" sourceLinked="1"/>
        <c:majorTickMark val="out"/>
        <c:minorTickMark val="none"/>
        <c:tickLblPos val="nextTo"/>
        <c:spPr>
          <a:ln w="2770">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1184768"/>
        <c:crosses val="autoZero"/>
        <c:crossBetween val="midCat"/>
        <c:majorUnit val="1.0000000000000011E-2"/>
      </c:valAx>
      <c:spPr>
        <a:noFill/>
        <a:ln w="22135">
          <a:noFill/>
        </a:ln>
      </c:spPr>
    </c:plotArea>
    <c:plotVisOnly val="1"/>
    <c:dispBlanksAs val="gap"/>
    <c:showDLblsOverMax val="0"/>
  </c:chart>
  <c:spPr>
    <a:solidFill>
      <a:srgbClr val="FFFFFF"/>
    </a:solidFill>
    <a:ln w="6350">
      <a:noFill/>
      <a:prstDash val="solid"/>
    </a:ln>
  </c:spPr>
  <c:txPr>
    <a:bodyPr/>
    <a:lstStyle/>
    <a:p>
      <a:pPr>
        <a:defRPr sz="697"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LNCS.XSL" StyleName="LNCS"/>
</file>

<file path=customXml/itemProps1.xml><?xml version="1.0" encoding="utf-8"?>
<ds:datastoreItem xmlns:ds="http://schemas.openxmlformats.org/officeDocument/2006/customXml" ds:itemID="{F4480C27-0574-4DCB-B8D7-0F9BD539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Willy</dc:creator>
  <cp:lastModifiedBy>user</cp:lastModifiedBy>
  <cp:revision>2</cp:revision>
  <cp:lastPrinted>2018-01-15T04:22:00Z</cp:lastPrinted>
  <dcterms:created xsi:type="dcterms:W3CDTF">2018-01-19T09:41:00Z</dcterms:created>
  <dcterms:modified xsi:type="dcterms:W3CDTF">2018-01-19T09:41:00Z</dcterms:modified>
</cp:coreProperties>
</file>